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sz w:val="48"/>
          <w:szCs w:val="48"/>
        </w:rPr>
      </w:pPr>
      <w:r>
        <w:rPr>
          <w:rFonts w:hint="eastAsia" w:ascii="宋体" w:hAnsi="宋体" w:cs="宋体"/>
          <w:b/>
          <w:sz w:val="48"/>
          <w:szCs w:val="48"/>
        </w:rPr>
        <w:t>安庆职业技术学院教学过程支撑系统模块与设备采购</w:t>
      </w:r>
    </w:p>
    <w:p>
      <w:pPr>
        <w:spacing w:line="360" w:lineRule="auto"/>
        <w:jc w:val="center"/>
        <w:rPr>
          <w:rFonts w:ascii="宋体" w:hAnsi="宋体" w:cs="宋体"/>
          <w:b/>
          <w:sz w:val="48"/>
          <w:szCs w:val="48"/>
        </w:rPr>
      </w:pPr>
    </w:p>
    <w:p>
      <w:pPr>
        <w:spacing w:line="360" w:lineRule="auto"/>
        <w:jc w:val="center"/>
        <w:rPr>
          <w:rFonts w:ascii="宋体" w:hAnsi="宋体" w:cs="宋体"/>
          <w:b/>
          <w:sz w:val="110"/>
          <w:szCs w:val="110"/>
        </w:rPr>
      </w:pPr>
      <w:r>
        <w:rPr>
          <w:rFonts w:hint="eastAsia" w:ascii="宋体" w:hAnsi="宋体" w:cs="宋体"/>
          <w:b/>
          <w:sz w:val="110"/>
          <w:szCs w:val="110"/>
        </w:rPr>
        <w:t xml:space="preserve"> 竞争性谈判文件</w:t>
      </w:r>
    </w:p>
    <w:p>
      <w:pPr>
        <w:spacing w:line="360" w:lineRule="auto"/>
        <w:jc w:val="center"/>
        <w:rPr>
          <w:rFonts w:ascii="宋体" w:hAnsi="宋体" w:cs="宋体"/>
          <w:b/>
          <w:sz w:val="24"/>
          <w:szCs w:val="32"/>
        </w:rPr>
      </w:pPr>
      <w:r>
        <w:rPr>
          <w:rFonts w:hint="eastAsia" w:ascii="宋体" w:hAnsi="宋体" w:cs="宋体"/>
          <w:b/>
          <w:sz w:val="24"/>
        </w:rPr>
        <w:t>项目编号：CG-AZ-2021-012</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Cs w:val="21"/>
        </w:rPr>
      </w:pPr>
      <w:r>
        <w:rPr>
          <w:rFonts w:hint="eastAsia" w:ascii="宋体" w:hAnsi="宋体" w:cs="宋体"/>
          <w:b/>
          <w:sz w:val="30"/>
          <w:szCs w:val="30"/>
        </w:rPr>
        <w:t>采   购   人：</w:t>
      </w:r>
      <w:r>
        <w:rPr>
          <w:rFonts w:hint="eastAsia" w:ascii="宋体" w:hAnsi="宋体" w:cs="宋体"/>
          <w:b/>
          <w:sz w:val="30"/>
          <w:szCs w:val="30"/>
          <w:u w:val="single"/>
        </w:rPr>
        <w:t xml:space="preserve">      </w:t>
      </w:r>
      <w:r>
        <w:rPr>
          <w:rFonts w:hint="eastAsia" w:ascii="宋体" w:hAnsi="宋体" w:cs="宋体"/>
          <w:b/>
          <w:spacing w:val="40"/>
          <w:sz w:val="30"/>
          <w:szCs w:val="30"/>
          <w:u w:val="single"/>
        </w:rPr>
        <w:t xml:space="preserve"> 安庆职业技术学院  </w:t>
      </w:r>
      <w:r>
        <w:rPr>
          <w:rFonts w:hint="eastAsia" w:ascii="宋体" w:hAnsi="宋体" w:cs="宋体"/>
          <w:b/>
          <w:sz w:val="30"/>
          <w:szCs w:val="30"/>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rPr>
          <w:rFonts w:ascii="宋体" w:hAnsi="宋体" w:cs="宋体"/>
          <w:sz w:val="24"/>
        </w:rPr>
      </w:pP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jc w:val="center"/>
        <w:rPr>
          <w:rFonts w:ascii="宋体" w:hAnsi="宋体" w:cs="宋体"/>
          <w:b/>
          <w:sz w:val="30"/>
          <w:szCs w:val="30"/>
        </w:rPr>
      </w:pPr>
      <w:r>
        <w:rPr>
          <w:rFonts w:hint="eastAsia" w:ascii="宋体" w:hAnsi="宋体" w:cs="宋体"/>
          <w:b/>
          <w:sz w:val="30"/>
          <w:szCs w:val="30"/>
        </w:rPr>
        <w:t>日  期：二〇二一 年 六 月</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rPr>
        <w:t>2021</w:t>
      </w:r>
      <w:r>
        <w:rPr>
          <w:rFonts w:ascii="仿宋" w:hAnsi="仿宋" w:eastAsia="仿宋" w:cs="仿宋"/>
          <w:bCs/>
          <w:kern w:val="0"/>
          <w:sz w:val="32"/>
          <w:szCs w:val="32"/>
        </w:rPr>
        <w:t>年</w:t>
      </w:r>
      <w:r>
        <w:rPr>
          <w:rFonts w:hint="eastAsia" w:ascii="仿宋" w:hAnsi="仿宋" w:eastAsia="仿宋" w:cs="仿宋"/>
          <w:bCs/>
          <w:kern w:val="0"/>
          <w:sz w:val="32"/>
          <w:szCs w:val="32"/>
          <w:lang w:val="en-US" w:eastAsia="zh-CN"/>
        </w:rPr>
        <w:t>7</w:t>
      </w:r>
      <w:r>
        <w:rPr>
          <w:rFonts w:ascii="仿宋" w:hAnsi="仿宋" w:eastAsia="仿宋" w:cs="仿宋"/>
          <w:bCs/>
          <w:kern w:val="0"/>
          <w:sz w:val="32"/>
          <w:szCs w:val="32"/>
        </w:rPr>
        <w:t>月</w:t>
      </w:r>
      <w:r>
        <w:rPr>
          <w:rFonts w:hint="eastAsia" w:ascii="仿宋" w:hAnsi="仿宋" w:eastAsia="仿宋" w:cs="仿宋"/>
          <w:bCs/>
          <w:kern w:val="0"/>
          <w:sz w:val="32"/>
          <w:szCs w:val="32"/>
          <w:lang w:val="en-US" w:eastAsia="zh-CN"/>
        </w:rPr>
        <w:t>4</w:t>
      </w:r>
      <w:r>
        <w:rPr>
          <w:rFonts w:ascii="仿宋" w:hAnsi="仿宋" w:eastAsia="仿宋" w:cs="仿宋"/>
          <w:bCs/>
          <w:kern w:val="0"/>
          <w:sz w:val="32"/>
          <w:szCs w:val="32"/>
        </w:rPr>
        <w:t>日24时前最新发布的政府行政部门官网截图（或网址链接），或社居委或卫生主管部门等政府部门出具的书面证明材料；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二、鉴于新冠肺炎疫情防控工作需要，建议谈判响应人至少提前30分钟到达开标会现场。</w:t>
      </w: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2、法定代表人应出示有效二代居民身份证或委托代理人应出示授权书用于开标现场查验；</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3、谈判响应人代表在参加开标会时须携带有效身份证；</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4、对投标活动中可能发生的质疑、投诉行为，须依法在规定的时间内提出。</w:t>
      </w:r>
    </w:p>
    <w:p>
      <w:pPr>
        <w:widowControl/>
        <w:jc w:val="left"/>
        <w:rPr>
          <w:rFonts w:ascii="仿宋" w:hAnsi="仿宋" w:eastAsia="仿宋" w:cs="仿宋"/>
          <w:bCs/>
          <w:kern w:val="0"/>
          <w:sz w:val="32"/>
          <w:szCs w:val="32"/>
        </w:rPr>
      </w:pPr>
      <w:r>
        <w:rPr>
          <w:rFonts w:ascii="宋体" w:hAnsi="宋体" w:cs="宋体"/>
          <w:b/>
          <w:kern w:val="0"/>
          <w:sz w:val="24"/>
        </w:rPr>
        <w:br w:type="page"/>
      </w:r>
    </w:p>
    <w:p>
      <w:pPr>
        <w:widowControl/>
        <w:jc w:val="left"/>
        <w:rPr>
          <w:rFonts w:ascii="宋体" w:hAnsi="宋体" w:cs="宋体"/>
          <w:b/>
          <w:kern w:val="0"/>
          <w:sz w:val="24"/>
        </w:rPr>
      </w:pPr>
    </w:p>
    <w:p>
      <w:pPr>
        <w:jc w:val="center"/>
        <w:rPr>
          <w:rFonts w:ascii="宋体" w:hAnsi="宋体" w:cs="宋体"/>
          <w:b/>
          <w:sz w:val="36"/>
          <w:szCs w:val="36"/>
        </w:rPr>
      </w:pPr>
      <w:r>
        <w:rPr>
          <w:rFonts w:hint="eastAsia" w:ascii="宋体" w:hAnsi="宋体" w:cs="宋体"/>
          <w:b/>
          <w:sz w:val="36"/>
          <w:szCs w:val="36"/>
        </w:rPr>
        <w:t>目   录</w:t>
      </w:r>
    </w:p>
    <w:p>
      <w:pPr>
        <w:pStyle w:val="17"/>
        <w:rPr>
          <w:rFonts w:asciiTheme="minorHAnsi" w:hAnsiTheme="minorHAnsi" w:eastAsiaTheme="minorEastAsia" w:cstheme="minorBidi"/>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"_Toc54939187" </w:instrText>
      </w:r>
      <w:r>
        <w:fldChar w:fldCharType="separate"/>
      </w:r>
      <w:r>
        <w:rPr>
          <w:rStyle w:val="27"/>
          <w:rFonts w:ascii="宋体" w:hAnsi="宋体" w:cs="宋体"/>
          <w:b/>
          <w:bCs/>
          <w:color w:val="auto"/>
        </w:rPr>
        <w:t>第一章   竞争性谈判公告</w:t>
      </w:r>
      <w:r>
        <w:tab/>
      </w:r>
      <w:r>
        <w:fldChar w:fldCharType="begin"/>
      </w:r>
      <w:r>
        <w:instrText xml:space="preserve"> PAGEREF _Toc54939187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"_Toc54939188" </w:instrText>
      </w:r>
      <w:r>
        <w:fldChar w:fldCharType="separate"/>
      </w:r>
      <w:r>
        <w:rPr>
          <w:rStyle w:val="27"/>
          <w:rFonts w:ascii="宋体" w:hAnsi="宋体" w:cs="宋体"/>
          <w:color w:val="auto"/>
        </w:rPr>
        <w:t>第二章   谈判响应人须知</w:t>
      </w:r>
      <w:r>
        <w:tab/>
      </w:r>
      <w:r>
        <w:fldChar w:fldCharType="begin"/>
      </w:r>
      <w:r>
        <w:instrText xml:space="preserve"> PAGEREF _Toc54939188 \h </w:instrText>
      </w:r>
      <w:r>
        <w:fldChar w:fldCharType="separate"/>
      </w:r>
      <w:r>
        <w:t>1</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"_Toc54939189" </w:instrText>
      </w:r>
      <w:r>
        <w:fldChar w:fldCharType="separate"/>
      </w:r>
      <w:r>
        <w:rPr>
          <w:rStyle w:val="27"/>
          <w:rFonts w:ascii="宋体" w:hAnsi="宋体"/>
          <w:color w:val="auto"/>
        </w:rPr>
        <w:t>第一节  谈判响应人须知前附表</w:t>
      </w:r>
      <w:r>
        <w:tab/>
      </w:r>
      <w:r>
        <w:fldChar w:fldCharType="begin"/>
      </w:r>
      <w:r>
        <w:instrText xml:space="preserve"> PAGEREF _Toc54939189 \h </w:instrText>
      </w:r>
      <w:r>
        <w:fldChar w:fldCharType="separate"/>
      </w:r>
      <w:r>
        <w:t>5</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"_Toc54939190" </w:instrText>
      </w:r>
      <w:r>
        <w:fldChar w:fldCharType="separate"/>
      </w:r>
      <w:r>
        <w:rPr>
          <w:rStyle w:val="27"/>
          <w:rFonts w:ascii="宋体" w:hAnsi="宋体"/>
          <w:color w:val="auto"/>
        </w:rPr>
        <w:t>第二节  谈判响应人须知</w:t>
      </w:r>
      <w:r>
        <w:tab/>
      </w:r>
      <w:r>
        <w:fldChar w:fldCharType="begin"/>
      </w:r>
      <w:r>
        <w:instrText xml:space="preserve"> PAGEREF _Toc54939190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"_Toc54939191" </w:instrText>
      </w:r>
      <w:r>
        <w:fldChar w:fldCharType="separate"/>
      </w:r>
      <w:r>
        <w:rPr>
          <w:rStyle w:val="27"/>
          <w:rFonts w:hAnsi="宋体" w:cs="宋体"/>
          <w:color w:val="auto"/>
        </w:rPr>
        <w:t>一、总则</w:t>
      </w:r>
      <w:r>
        <w:tab/>
      </w:r>
      <w:r>
        <w:fldChar w:fldCharType="begin"/>
      </w:r>
      <w:r>
        <w:instrText xml:space="preserve"> PAGEREF _Toc54939191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"_Toc54939192" </w:instrText>
      </w:r>
      <w:r>
        <w:fldChar w:fldCharType="separate"/>
      </w:r>
      <w:r>
        <w:rPr>
          <w:rStyle w:val="27"/>
          <w:rFonts w:hAnsi="宋体" w:cs="宋体"/>
          <w:color w:val="auto"/>
        </w:rPr>
        <w:t>二、竞争性谈判文件</w:t>
      </w:r>
      <w:r>
        <w:tab/>
      </w:r>
      <w:r>
        <w:fldChar w:fldCharType="begin"/>
      </w:r>
      <w:r>
        <w:instrText xml:space="preserve"> PAGEREF _Toc54939192 \h </w:instrText>
      </w:r>
      <w:r>
        <w:fldChar w:fldCharType="separate"/>
      </w:r>
      <w:r>
        <w:t>8</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"_Toc54939193" </w:instrText>
      </w:r>
      <w:r>
        <w:fldChar w:fldCharType="separate"/>
      </w:r>
      <w:r>
        <w:rPr>
          <w:rStyle w:val="27"/>
          <w:rFonts w:hAnsi="宋体" w:cs="宋体"/>
          <w:color w:val="auto"/>
        </w:rPr>
        <w:t>三、谈判响应文件的编制</w:t>
      </w:r>
      <w:r>
        <w:tab/>
      </w:r>
      <w:r>
        <w:fldChar w:fldCharType="begin"/>
      </w:r>
      <w:r>
        <w:instrText xml:space="preserve"> PAGEREF _Toc54939193 \h </w:instrText>
      </w:r>
      <w:r>
        <w:fldChar w:fldCharType="separate"/>
      </w:r>
      <w:r>
        <w:t>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"_Toc54939194" </w:instrText>
      </w:r>
      <w:r>
        <w:fldChar w:fldCharType="separate"/>
      </w:r>
      <w:r>
        <w:rPr>
          <w:rStyle w:val="27"/>
          <w:rFonts w:hAnsi="宋体" w:cs="宋体"/>
          <w:color w:val="auto"/>
        </w:rPr>
        <w:t>四、 谈判响应文件的提交</w:t>
      </w:r>
      <w:r>
        <w:tab/>
      </w:r>
      <w:r>
        <w:fldChar w:fldCharType="begin"/>
      </w:r>
      <w:r>
        <w:instrText xml:space="preserve"> PAGEREF _Toc54939194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"_Toc54939195" </w:instrText>
      </w:r>
      <w:r>
        <w:fldChar w:fldCharType="separate"/>
      </w:r>
      <w:r>
        <w:rPr>
          <w:rStyle w:val="27"/>
          <w:rFonts w:hAnsi="宋体" w:cs="宋体"/>
          <w:color w:val="auto"/>
        </w:rPr>
        <w:t>五、谈判程序</w:t>
      </w:r>
      <w:r>
        <w:tab/>
      </w:r>
      <w:r>
        <w:fldChar w:fldCharType="begin"/>
      </w:r>
      <w:r>
        <w:instrText xml:space="preserve"> PAGEREF _Toc54939195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"_Toc54939196" </w:instrText>
      </w:r>
      <w:r>
        <w:fldChar w:fldCharType="separate"/>
      </w:r>
      <w:r>
        <w:rPr>
          <w:rStyle w:val="27"/>
          <w:rFonts w:hAnsi="宋体" w:cs="宋体"/>
          <w:color w:val="auto"/>
        </w:rPr>
        <w:t>六、谈判</w:t>
      </w:r>
      <w:r>
        <w:tab/>
      </w:r>
      <w:r>
        <w:fldChar w:fldCharType="begin"/>
      </w:r>
      <w:r>
        <w:instrText xml:space="preserve"> PAGEREF _Toc54939196 \h </w:instrText>
      </w:r>
      <w:r>
        <w:fldChar w:fldCharType="separate"/>
      </w:r>
      <w:r>
        <w:t>15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"_Toc54939197" </w:instrText>
      </w:r>
      <w:r>
        <w:fldChar w:fldCharType="separate"/>
      </w:r>
      <w:r>
        <w:rPr>
          <w:rStyle w:val="27"/>
          <w:rFonts w:ascii="宋体" w:hAnsi="宋体" w:cs="宋体"/>
          <w:b/>
          <w:bCs/>
          <w:color w:val="auto"/>
        </w:rPr>
        <w:t>七、合同授予</w:t>
      </w:r>
      <w:r>
        <w:tab/>
      </w:r>
      <w:r>
        <w:fldChar w:fldCharType="begin"/>
      </w:r>
      <w:r>
        <w:instrText xml:space="preserve"> PAGEREF _Toc54939197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"_Toc54939198" </w:instrText>
      </w:r>
      <w:r>
        <w:fldChar w:fldCharType="separate"/>
      </w:r>
      <w:r>
        <w:rPr>
          <w:rStyle w:val="27"/>
          <w:rFonts w:ascii="宋体" w:hAnsi="宋体" w:cs="宋体"/>
          <w:color w:val="auto"/>
        </w:rPr>
        <w:t>第三章 服务需求及技术要求</w:t>
      </w:r>
      <w:r>
        <w:tab/>
      </w:r>
      <w:r>
        <w:fldChar w:fldCharType="begin"/>
      </w:r>
      <w:r>
        <w:instrText xml:space="preserve"> PAGEREF _Toc54939198 \h </w:instrText>
      </w:r>
      <w:r>
        <w:fldChar w:fldCharType="separate"/>
      </w:r>
      <w:r>
        <w:t>20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"_Toc54939199" </w:instrText>
      </w:r>
      <w:r>
        <w:fldChar w:fldCharType="separate"/>
      </w:r>
      <w:r>
        <w:rPr>
          <w:rStyle w:val="27"/>
          <w:rFonts w:ascii="宋体" w:hAnsi="宋体" w:cs="宋体"/>
          <w:color w:val="auto"/>
        </w:rPr>
        <w:t>第四章  合同主要条款</w:t>
      </w:r>
      <w:r>
        <w:tab/>
      </w:r>
      <w:r>
        <w:fldChar w:fldCharType="begin"/>
      </w:r>
      <w:r>
        <w:instrText xml:space="preserve"> PAGEREF _Toc54939199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"_Toc54939200" </w:instrText>
      </w:r>
      <w:r>
        <w:fldChar w:fldCharType="separate"/>
      </w:r>
      <w:r>
        <w:rPr>
          <w:rStyle w:val="27"/>
          <w:rFonts w:ascii="宋体" w:hAnsi="宋体" w:cs="宋体"/>
          <w:color w:val="auto"/>
        </w:rPr>
        <w:t>第五章   谈判响应文件格式</w:t>
      </w:r>
      <w:r>
        <w:tab/>
      </w:r>
      <w:r>
        <w:fldChar w:fldCharType="begin"/>
      </w:r>
      <w:r>
        <w:instrText xml:space="preserve"> PAGEREF _Toc54939200 \h </w:instrText>
      </w:r>
      <w:r>
        <w:fldChar w:fldCharType="separate"/>
      </w:r>
      <w:r>
        <w:t>27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"_Toc54939201" </w:instrText>
      </w:r>
      <w:r>
        <w:fldChar w:fldCharType="separate"/>
      </w:r>
      <w:r>
        <w:rPr>
          <w:rStyle w:val="27"/>
          <w:rFonts w:hAnsi="宋体" w:cs="宋体"/>
          <w:color w:val="auto"/>
        </w:rPr>
        <w:t>一、谈判响应函</w:t>
      </w:r>
      <w:r>
        <w:tab/>
      </w:r>
      <w:r>
        <w:fldChar w:fldCharType="begin"/>
      </w:r>
      <w:r>
        <w:instrText xml:space="preserve"> PAGEREF _Toc54939201 \h </w:instrText>
      </w:r>
      <w:r>
        <w:fldChar w:fldCharType="separate"/>
      </w:r>
      <w:r>
        <w:t>29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"_Toc54939202" </w:instrText>
      </w:r>
      <w:r>
        <w:fldChar w:fldCharType="separate"/>
      </w:r>
      <w:r>
        <w:rPr>
          <w:rStyle w:val="27"/>
          <w:rFonts w:hAnsi="宋体" w:cs="宋体"/>
          <w:color w:val="auto"/>
        </w:rPr>
        <w:t>二、</w:t>
      </w:r>
      <w:r>
        <w:rPr>
          <w:rStyle w:val="27"/>
          <w:rFonts w:hint="eastAsia" w:hAnsi="宋体" w:cs="宋体"/>
          <w:color w:val="auto"/>
        </w:rPr>
        <w:t>货物报价表</w:t>
      </w:r>
      <w:r>
        <w:rPr>
          <w:rStyle w:val="27"/>
          <w:rFonts w:hAnsi="宋体" w:cs="宋体"/>
          <w:color w:val="auto"/>
        </w:rPr>
        <w:t>(首轮)</w:t>
      </w:r>
      <w:r>
        <w:tab/>
      </w:r>
      <w:r>
        <w:fldChar w:fldCharType="begin"/>
      </w:r>
      <w:r>
        <w:instrText xml:space="preserve"> PAGEREF _Toc54939202 \h </w:instrText>
      </w:r>
      <w:r>
        <w:fldChar w:fldCharType="separate"/>
      </w:r>
      <w:r>
        <w:t>30</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"_Toc54939203" </w:instrText>
      </w:r>
      <w:r>
        <w:fldChar w:fldCharType="separate"/>
      </w:r>
      <w:r>
        <w:rPr>
          <w:rStyle w:val="27"/>
          <w:rFonts w:hAnsi="宋体" w:cs="宋体"/>
          <w:color w:val="auto"/>
        </w:rPr>
        <w:t>最终报价表</w:t>
      </w:r>
      <w:r>
        <w:tab/>
      </w:r>
      <w:r>
        <w:fldChar w:fldCharType="begin"/>
      </w:r>
      <w:r>
        <w:instrText xml:space="preserve"> PAGEREF _Toc54939203 \h </w:instrText>
      </w:r>
      <w:r>
        <w:fldChar w:fldCharType="separate"/>
      </w:r>
      <w:r>
        <w:t>31</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"_Toc54939204" </w:instrText>
      </w:r>
      <w:r>
        <w:fldChar w:fldCharType="separate"/>
      </w:r>
      <w:r>
        <w:rPr>
          <w:rStyle w:val="27"/>
          <w:rFonts w:hAnsi="宋体" w:cs="宋体"/>
          <w:color w:val="auto"/>
        </w:rPr>
        <w:t>三、</w:t>
      </w:r>
      <w:r>
        <w:rPr>
          <w:rStyle w:val="27"/>
          <w:rFonts w:hint="eastAsia" w:hAnsi="宋体" w:cs="宋体"/>
          <w:color w:val="auto"/>
        </w:rPr>
        <w:t>技术参数响应表</w:t>
      </w:r>
      <w:r>
        <w:tab/>
      </w:r>
      <w:r>
        <w:fldChar w:fldCharType="begin"/>
      </w:r>
      <w:r>
        <w:instrText xml:space="preserve"> PAGEREF _Toc54939204 \h </w:instrText>
      </w:r>
      <w:r>
        <w:fldChar w:fldCharType="separate"/>
      </w:r>
      <w:r>
        <w:t>32</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"_Toc54939205" </w:instrText>
      </w:r>
      <w:r>
        <w:fldChar w:fldCharType="separate"/>
      </w:r>
      <w:r>
        <w:rPr>
          <w:rStyle w:val="27"/>
          <w:rFonts w:hAnsi="宋体" w:cs="宋体"/>
          <w:color w:val="auto"/>
        </w:rPr>
        <w:t>四、服务方案</w:t>
      </w:r>
      <w:r>
        <w:tab/>
      </w:r>
      <w:r>
        <w:fldChar w:fldCharType="begin"/>
      </w:r>
      <w:r>
        <w:instrText xml:space="preserve"> PAGEREF _Toc54939205 \h </w:instrText>
      </w:r>
      <w:r>
        <w:fldChar w:fldCharType="separate"/>
      </w:r>
      <w:r>
        <w:t>34</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"_Toc54939206" </w:instrText>
      </w:r>
      <w:r>
        <w:fldChar w:fldCharType="separate"/>
      </w:r>
      <w:r>
        <w:rPr>
          <w:rStyle w:val="27"/>
          <w:rFonts w:hAnsi="宋体" w:cs="宋体"/>
          <w:color w:val="auto"/>
        </w:rPr>
        <w:t>五、诚信谈判响应承诺书</w:t>
      </w:r>
      <w:r>
        <w:tab/>
      </w:r>
      <w:r>
        <w:fldChar w:fldCharType="begin"/>
      </w:r>
      <w:r>
        <w:instrText xml:space="preserve"> PAGEREF _Toc54939206 \h </w:instrText>
      </w:r>
      <w:r>
        <w:fldChar w:fldCharType="separate"/>
      </w:r>
      <w:r>
        <w:t>35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"_Toc54939209" </w:instrText>
      </w:r>
      <w:r>
        <w:fldChar w:fldCharType="separate"/>
      </w:r>
      <w:r>
        <w:rPr>
          <w:rFonts w:hint="eastAsia"/>
        </w:rPr>
        <w:t>六</w:t>
      </w:r>
      <w:r>
        <w:rPr>
          <w:rStyle w:val="27"/>
          <w:rFonts w:hAnsi="宋体" w:cs="宋体"/>
          <w:color w:val="auto"/>
        </w:rPr>
        <w:t>、资格证明文件</w:t>
      </w:r>
      <w:r>
        <w:tab/>
      </w:r>
      <w:r>
        <w:fldChar w:fldCharType="begin"/>
      </w:r>
      <w:r>
        <w:instrText xml:space="preserve"> PAGEREF _Toc54939209 \h </w:instrText>
      </w:r>
      <w:r>
        <w:fldChar w:fldCharType="separate"/>
      </w:r>
      <w:r>
        <w:t>36</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rPr>
      </w:pPr>
      <w:r>
        <w:rPr>
          <w:rFonts w:hint="eastAsia" w:ascii="宋体" w:hAnsi="宋体" w:cs="宋体"/>
        </w:rPr>
        <w:fldChar w:fldCharType="end"/>
      </w:r>
    </w:p>
    <w:p>
      <w:pPr>
        <w:pStyle w:val="10"/>
        <w:tabs>
          <w:tab w:val="right" w:leader="dot" w:pos="9060"/>
        </w:tabs>
        <w:spacing w:line="240" w:lineRule="auto"/>
        <w:ind w:left="0" w:leftChars="0"/>
        <w:jc w:val="center"/>
        <w:outlineLvl w:val="0"/>
        <w:rPr>
          <w:rFonts w:ascii="宋体" w:hAnsi="宋体" w:cs="宋体"/>
        </w:rPr>
        <w:sectPr>
          <w:headerReference r:id="rId3" w:type="default"/>
          <w:pgSz w:w="11906" w:h="16838"/>
          <w:pgMar w:top="1417" w:right="1418" w:bottom="1417" w:left="1418" w:header="680" w:footer="680" w:gutter="0"/>
          <w:pgNumType w:start="1"/>
          <w:cols w:space="720" w:num="1"/>
          <w:docGrid w:type="lines" w:linePitch="312" w:charSpace="0"/>
        </w:sectPr>
      </w:pPr>
    </w:p>
    <w:p/>
    <w:p>
      <w:pPr>
        <w:pStyle w:val="10"/>
        <w:tabs>
          <w:tab w:val="right" w:leader="dot" w:pos="9060"/>
        </w:tabs>
        <w:spacing w:line="240" w:lineRule="auto"/>
        <w:ind w:left="0" w:leftChars="0"/>
        <w:jc w:val="center"/>
        <w:outlineLvl w:val="0"/>
        <w:rPr>
          <w:rStyle w:val="33"/>
          <w:rFonts w:ascii="宋体" w:hAnsi="宋体" w:cs="宋体"/>
          <w:b/>
          <w:bCs/>
          <w:sz w:val="32"/>
          <w:szCs w:val="32"/>
        </w:rPr>
      </w:pPr>
      <w:bookmarkStart w:id="0" w:name="_Toc54939187"/>
      <w:r>
        <w:rPr>
          <w:rStyle w:val="33"/>
          <w:rFonts w:hint="eastAsia" w:ascii="宋体" w:hAnsi="宋体" w:cs="宋体"/>
          <w:b/>
          <w:bCs/>
          <w:sz w:val="32"/>
          <w:szCs w:val="32"/>
        </w:rPr>
        <w:t>第一章   竞争性谈判公告</w:t>
      </w:r>
      <w:bookmarkEnd w:id="0"/>
      <w:bookmarkStart w:id="1" w:name="_Toc35393797"/>
      <w:bookmarkStart w:id="2" w:name="_Toc28359011"/>
    </w:p>
    <w:p>
      <w:pPr>
        <w:pStyle w:val="10"/>
        <w:tabs>
          <w:tab w:val="right" w:leader="dot" w:pos="9060"/>
        </w:tabs>
        <w:spacing w:line="240" w:lineRule="auto"/>
        <w:ind w:left="0" w:leftChars="0"/>
        <w:jc w:val="center"/>
        <w:rPr>
          <w:rFonts w:ascii="华文中宋" w:hAnsi="华文中宋" w:eastAsia="华文中宋"/>
          <w:b/>
          <w:bCs/>
          <w:kern w:val="44"/>
          <w:sz w:val="28"/>
          <w:szCs w:val="28"/>
        </w:rPr>
      </w:pPr>
      <w:r>
        <w:rPr>
          <w:rFonts w:hint="eastAsia" w:ascii="华文中宋" w:hAnsi="华文中宋" w:eastAsia="华文中宋"/>
          <w:b/>
          <w:bCs/>
          <w:kern w:val="44"/>
          <w:sz w:val="28"/>
          <w:szCs w:val="28"/>
        </w:rPr>
        <w:t>安庆职业技术学院教学过程支撑系统模块与设备采购竞争性谈判公告</w:t>
      </w:r>
      <w:bookmarkEnd w:id="1"/>
      <w:bookmarkEnd w:id="2"/>
    </w:p>
    <w:tbl>
      <w:tblPr>
        <w:tblStyle w:val="2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bookmarkStart w:id="3" w:name="_Toc54939188"/>
            <w:bookmarkStart w:id="4" w:name="_Toc5725"/>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rPr>
              <w:t>安庆职业技术学院教学过程支撑系统模块与设备采购</w:t>
            </w:r>
            <w:r>
              <w:rPr>
                <w:rFonts w:hint="eastAsia" w:ascii="仿宋" w:hAnsi="仿宋" w:eastAsia="仿宋"/>
                <w:sz w:val="28"/>
                <w:szCs w:val="28"/>
              </w:rPr>
              <w:t>项目的潜在供应商应于2021年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ascii="Calibri" w:hAnsi="Calibri"/>
                <w:szCs w:val="21"/>
                <w:lang w:bidi="ar"/>
              </w:rPr>
              <w:t> </w:t>
            </w:r>
          </w:p>
        </w:tc>
      </w:tr>
    </w:tbl>
    <w:p>
      <w:pPr>
        <w:rPr>
          <w:rFonts w:ascii="黑体" w:hAnsi="黑体" w:eastAsia="黑体" w:cs="宋体"/>
          <w:bCs/>
          <w:sz w:val="28"/>
          <w:szCs w:val="28"/>
        </w:rPr>
      </w:pPr>
      <w:r>
        <w:rPr>
          <w:rFonts w:ascii="Calibri" w:hAnsi="Calibri"/>
          <w:szCs w:val="21"/>
          <w:lang w:bidi="ar"/>
        </w:rPr>
        <w:t xml:space="preserve"> </w:t>
      </w:r>
      <w:bookmarkStart w:id="5" w:name="_Toc28359012"/>
      <w:bookmarkStart w:id="6" w:name="_Toc28359089"/>
      <w:bookmarkStart w:id="7" w:name="_Toc35393629"/>
      <w:bookmarkStart w:id="8" w:name="_Toc35393798"/>
      <w:r>
        <w:rPr>
          <w:rFonts w:hint="eastAsia" w:ascii="黑体" w:hAnsi="黑体" w:eastAsia="黑体" w:cs="宋体"/>
          <w:bCs/>
          <w:sz w:val="28"/>
          <w:szCs w:val="28"/>
        </w:rPr>
        <w:t>一、项目基本情况</w:t>
      </w:r>
      <w:bookmarkEnd w:id="5"/>
      <w:bookmarkEnd w:id="6"/>
      <w:bookmarkEnd w:id="7"/>
      <w:bookmarkEnd w:id="8"/>
    </w:p>
    <w:p>
      <w:pPr>
        <w:ind w:firstLine="708" w:firstLineChars="253"/>
        <w:rPr>
          <w:rFonts w:ascii="仿宋" w:hAnsi="仿宋" w:eastAsia="仿宋"/>
          <w:sz w:val="28"/>
          <w:szCs w:val="28"/>
        </w:rPr>
      </w:pPr>
      <w:r>
        <w:rPr>
          <w:rFonts w:hint="eastAsia" w:ascii="仿宋" w:hAnsi="仿宋" w:eastAsia="仿宋"/>
          <w:sz w:val="28"/>
          <w:szCs w:val="28"/>
        </w:rPr>
        <w:t>项目编号：CG-AZ-2021-012</w:t>
      </w:r>
    </w:p>
    <w:p>
      <w:pPr>
        <w:ind w:firstLine="708" w:firstLineChars="253"/>
        <w:rPr>
          <w:rFonts w:ascii="仿宋" w:hAnsi="仿宋" w:eastAsia="仿宋"/>
          <w:sz w:val="28"/>
          <w:szCs w:val="28"/>
          <w:u w:val="single"/>
        </w:rPr>
      </w:pPr>
      <w:r>
        <w:rPr>
          <w:rFonts w:hint="eastAsia" w:ascii="仿宋" w:hAnsi="仿宋" w:eastAsia="仿宋"/>
          <w:sz w:val="28"/>
          <w:szCs w:val="28"/>
        </w:rPr>
        <w:t>项目名称：安庆职业技术学院教学过程支撑系统模块与设备采购</w:t>
      </w:r>
    </w:p>
    <w:p>
      <w:pPr>
        <w:ind w:firstLine="708" w:firstLineChars="253"/>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708" w:firstLineChars="253"/>
        <w:rPr>
          <w:rFonts w:ascii="仿宋" w:hAnsi="仿宋" w:eastAsia="仿宋"/>
          <w:sz w:val="28"/>
          <w:szCs w:val="28"/>
        </w:rPr>
      </w:pPr>
      <w:r>
        <w:rPr>
          <w:rFonts w:hint="eastAsia" w:ascii="仿宋" w:hAnsi="仿宋" w:eastAsia="仿宋"/>
          <w:sz w:val="28"/>
          <w:szCs w:val="28"/>
        </w:rPr>
        <w:t>资金来源：财政资金</w:t>
      </w:r>
    </w:p>
    <w:p>
      <w:pPr>
        <w:ind w:firstLine="708" w:firstLineChars="253"/>
        <w:rPr>
          <w:rFonts w:ascii="仿宋" w:hAnsi="仿宋" w:eastAsia="仿宋"/>
          <w:sz w:val="28"/>
          <w:szCs w:val="28"/>
        </w:rPr>
      </w:pPr>
      <w:r>
        <w:rPr>
          <w:rFonts w:hint="eastAsia" w:ascii="仿宋" w:hAnsi="仿宋" w:eastAsia="仿宋"/>
          <w:sz w:val="28"/>
          <w:szCs w:val="28"/>
        </w:rPr>
        <w:t>预算金额：11万元</w:t>
      </w:r>
    </w:p>
    <w:p>
      <w:pPr>
        <w:ind w:firstLine="708" w:firstLineChars="253"/>
        <w:rPr>
          <w:rFonts w:ascii="仿宋" w:hAnsi="仿宋" w:eastAsia="仿宋"/>
          <w:sz w:val="28"/>
          <w:szCs w:val="28"/>
        </w:rPr>
      </w:pPr>
      <w:r>
        <w:rPr>
          <w:rFonts w:hint="eastAsia" w:ascii="仿宋" w:hAnsi="仿宋" w:eastAsia="仿宋"/>
          <w:sz w:val="28"/>
          <w:szCs w:val="28"/>
        </w:rPr>
        <w:t>最高限价：11万元</w:t>
      </w:r>
    </w:p>
    <w:p>
      <w:pPr>
        <w:ind w:firstLine="708" w:firstLineChars="253"/>
        <w:rPr>
          <w:rFonts w:ascii="仿宋" w:hAnsi="仿宋" w:eastAsia="仿宋"/>
          <w:sz w:val="28"/>
          <w:szCs w:val="28"/>
        </w:rPr>
      </w:pPr>
      <w:r>
        <w:rPr>
          <w:rFonts w:hint="eastAsia" w:ascii="仿宋" w:hAnsi="仿宋" w:eastAsia="仿宋"/>
          <w:sz w:val="28"/>
          <w:szCs w:val="28"/>
        </w:rPr>
        <w:t>采购需求：项目研发工作室硬件设备采购、教学过程支撑系统定制开发服务，详见谈判文件</w:t>
      </w:r>
    </w:p>
    <w:p>
      <w:pPr>
        <w:ind w:firstLine="708" w:firstLineChars="253"/>
        <w:rPr>
          <w:rFonts w:ascii="仿宋" w:hAnsi="仿宋" w:eastAsia="仿宋"/>
          <w:sz w:val="28"/>
          <w:szCs w:val="28"/>
        </w:rPr>
      </w:pPr>
      <w:r>
        <w:rPr>
          <w:rFonts w:hint="eastAsia" w:ascii="仿宋" w:hAnsi="仿宋" w:eastAsia="仿宋"/>
          <w:sz w:val="28"/>
          <w:szCs w:val="28"/>
        </w:rPr>
        <w:t>标段（包别）划分：一个包</w:t>
      </w:r>
    </w:p>
    <w:p>
      <w:pPr>
        <w:ind w:firstLine="708" w:firstLineChars="253"/>
        <w:rPr>
          <w:rFonts w:ascii="仿宋" w:hAnsi="仿宋" w:eastAsia="仿宋" w:cs="仿宋"/>
          <w:sz w:val="28"/>
          <w:szCs w:val="28"/>
        </w:rPr>
      </w:pPr>
      <w:r>
        <w:rPr>
          <w:rFonts w:hint="eastAsia" w:ascii="仿宋" w:hAnsi="仿宋" w:eastAsia="仿宋"/>
          <w:sz w:val="28"/>
          <w:szCs w:val="28"/>
        </w:rPr>
        <w:t>评标</w:t>
      </w:r>
      <w:r>
        <w:rPr>
          <w:rFonts w:hint="eastAsia" w:ascii="仿宋" w:hAnsi="仿宋" w:eastAsia="仿宋" w:cs="仿宋"/>
          <w:sz w:val="28"/>
          <w:szCs w:val="28"/>
        </w:rPr>
        <w:t>办法：采用符合性评审的有效最低价评审办法</w:t>
      </w:r>
    </w:p>
    <w:p>
      <w:pPr>
        <w:ind w:firstLine="708" w:firstLineChars="253"/>
        <w:rPr>
          <w:rFonts w:ascii="仿宋" w:hAnsi="仿宋" w:eastAsia="仿宋"/>
          <w:sz w:val="28"/>
          <w:szCs w:val="28"/>
        </w:rPr>
      </w:pPr>
      <w:r>
        <w:rPr>
          <w:rFonts w:hint="eastAsia" w:ascii="仿宋" w:hAnsi="仿宋" w:eastAsia="仿宋" w:cs="仿宋"/>
          <w:sz w:val="28"/>
          <w:szCs w:val="28"/>
        </w:rPr>
        <w:t>合同履行期限：自合同签字生效后45日历天</w:t>
      </w:r>
    </w:p>
    <w:p>
      <w:pPr>
        <w:ind w:firstLine="708" w:firstLineChars="253"/>
        <w:rPr>
          <w:rFonts w:ascii="仿宋" w:hAnsi="仿宋" w:eastAsia="仿宋"/>
          <w:sz w:val="28"/>
          <w:szCs w:val="28"/>
        </w:rPr>
      </w:pPr>
      <w:r>
        <w:rPr>
          <w:rFonts w:hint="eastAsia" w:ascii="仿宋" w:hAnsi="仿宋" w:eastAsia="仿宋"/>
          <w:sz w:val="28"/>
          <w:szCs w:val="28"/>
        </w:rPr>
        <w:t>本项目不接受联合体谈判。</w:t>
      </w:r>
    </w:p>
    <w:p>
      <w:pPr>
        <w:rPr>
          <w:rFonts w:ascii="黑体" w:hAnsi="黑体" w:eastAsia="黑体" w:cs="宋体"/>
          <w:bCs/>
          <w:sz w:val="28"/>
          <w:szCs w:val="28"/>
        </w:rPr>
      </w:pPr>
      <w:bookmarkStart w:id="9" w:name="_Toc28359013"/>
      <w:bookmarkStart w:id="10" w:name="_Toc35393630"/>
      <w:bookmarkStart w:id="11" w:name="_Toc28359090"/>
      <w:bookmarkStart w:id="12" w:name="_Toc35393799"/>
      <w:r>
        <w:rPr>
          <w:rFonts w:hint="eastAsia" w:ascii="黑体" w:hAnsi="黑体" w:eastAsia="黑体" w:cs="宋体"/>
          <w:bCs/>
          <w:sz w:val="28"/>
          <w:szCs w:val="28"/>
        </w:rPr>
        <w:t>二、申请人的资格要求：</w:t>
      </w:r>
      <w:bookmarkEnd w:id="9"/>
      <w:bookmarkEnd w:id="10"/>
      <w:bookmarkEnd w:id="11"/>
      <w:bookmarkEnd w:id="12"/>
    </w:p>
    <w:p>
      <w:pPr>
        <w:ind w:firstLine="565" w:firstLineChars="202"/>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5" w:firstLineChars="202"/>
        <w:rPr>
          <w:rFonts w:ascii="仿宋" w:hAnsi="仿宋" w:eastAsia="仿宋"/>
          <w:sz w:val="28"/>
          <w:szCs w:val="28"/>
        </w:rPr>
      </w:pPr>
      <w:bookmarkStart w:id="13" w:name="_Toc28359014"/>
      <w:bookmarkStart w:id="14" w:name="_Toc28359091"/>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5" w:firstLineChars="202"/>
        <w:rPr>
          <w:rFonts w:ascii="仿宋" w:hAnsi="仿宋" w:eastAsia="仿宋"/>
          <w:i/>
          <w:iCs/>
          <w:sz w:val="28"/>
          <w:szCs w:val="28"/>
          <w:u w:val="single"/>
        </w:rPr>
      </w:pPr>
      <w:r>
        <w:rPr>
          <w:rFonts w:hint="eastAsia" w:ascii="仿宋" w:hAnsi="仿宋" w:eastAsia="仿宋"/>
          <w:sz w:val="28"/>
          <w:szCs w:val="28"/>
        </w:rPr>
        <w:t>3.本项目的特定资格要求：/</w:t>
      </w:r>
    </w:p>
    <w:p>
      <w:pPr>
        <w:ind w:firstLine="565" w:firstLineChars="20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具有合法有效的营业执照。</w:t>
      </w:r>
    </w:p>
    <w:p>
      <w:pPr>
        <w:rPr>
          <w:rFonts w:ascii="黑体" w:hAnsi="黑体" w:eastAsia="黑体" w:cs="宋体"/>
          <w:bCs/>
          <w:sz w:val="28"/>
          <w:szCs w:val="28"/>
        </w:rPr>
      </w:pPr>
      <w:bookmarkStart w:id="15" w:name="_Toc35393800"/>
      <w:bookmarkStart w:id="16" w:name="_Toc35393631"/>
      <w:r>
        <w:rPr>
          <w:rFonts w:hint="eastAsia" w:ascii="黑体" w:hAnsi="黑体" w:eastAsia="黑体" w:cs="宋体"/>
          <w:bCs/>
          <w:sz w:val="28"/>
          <w:szCs w:val="28"/>
        </w:rPr>
        <w:t>三、获取采购文件</w:t>
      </w:r>
      <w:bookmarkEnd w:id="13"/>
      <w:bookmarkEnd w:id="14"/>
      <w:bookmarkEnd w:id="15"/>
      <w:bookmarkEnd w:id="16"/>
    </w:p>
    <w:p>
      <w:pPr>
        <w:ind w:firstLine="565" w:firstLineChars="202"/>
        <w:rPr>
          <w:rFonts w:ascii="仿宋" w:hAnsi="仿宋" w:eastAsia="仿宋" w:cs="宋体"/>
          <w:sz w:val="28"/>
          <w:szCs w:val="28"/>
        </w:rPr>
      </w:pPr>
      <w:r>
        <w:rPr>
          <w:rFonts w:hint="eastAsia" w:ascii="仿宋" w:hAnsi="仿宋" w:eastAsia="仿宋" w:cs="仿宋"/>
          <w:kern w:val="0"/>
          <w:sz w:val="28"/>
          <w:szCs w:val="28"/>
        </w:rPr>
        <w:t>潜在供应商于2021年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28</w:t>
      </w:r>
      <w:r>
        <w:rPr>
          <w:rFonts w:hint="eastAsia" w:ascii="仿宋" w:hAnsi="仿宋" w:eastAsia="仿宋" w:cs="仿宋"/>
          <w:kern w:val="0"/>
          <w:sz w:val="28"/>
          <w:szCs w:val="28"/>
        </w:rPr>
        <w:t>日17时30分前，将盖公章的获取竞争性谈判文件的函（详见附件）发送至邮箱504476178@qq.com。（超过时间的邮件无效，无法获取文件）</w:t>
      </w:r>
    </w:p>
    <w:p>
      <w:pPr>
        <w:ind w:firstLine="565" w:firstLineChars="202"/>
        <w:rPr>
          <w:rFonts w:ascii="仿宋" w:hAnsi="仿宋" w:eastAsia="仿宋" w:cs="宋体"/>
          <w:sz w:val="28"/>
          <w:szCs w:val="28"/>
        </w:rPr>
      </w:pPr>
      <w:r>
        <w:rPr>
          <w:rFonts w:hint="eastAsia" w:ascii="仿宋" w:hAnsi="仿宋" w:eastAsia="仿宋" w:cs="宋体"/>
          <w:sz w:val="28"/>
          <w:szCs w:val="28"/>
        </w:rPr>
        <w:t>售价：免费。</w:t>
      </w:r>
    </w:p>
    <w:p>
      <w:pPr>
        <w:rPr>
          <w:rFonts w:ascii="黑体" w:hAnsi="黑体" w:eastAsia="黑体" w:cs="宋体"/>
          <w:bCs/>
          <w:sz w:val="28"/>
          <w:szCs w:val="28"/>
        </w:rPr>
      </w:pPr>
      <w:bookmarkStart w:id="17" w:name="_Toc35393801"/>
      <w:bookmarkStart w:id="18" w:name="_Toc28359015"/>
      <w:bookmarkStart w:id="19" w:name="_Toc28359092"/>
      <w:bookmarkStart w:id="20" w:name="_Toc35393632"/>
      <w:r>
        <w:rPr>
          <w:rFonts w:hint="eastAsia" w:ascii="黑体" w:hAnsi="黑体" w:eastAsia="黑体" w:cs="宋体"/>
          <w:bCs/>
          <w:sz w:val="28"/>
          <w:szCs w:val="28"/>
        </w:rPr>
        <w:t>四、响应文件提交</w:t>
      </w:r>
      <w:bookmarkEnd w:id="17"/>
      <w:bookmarkEnd w:id="18"/>
      <w:bookmarkEnd w:id="19"/>
      <w:bookmarkEnd w:id="20"/>
    </w:p>
    <w:p>
      <w:pPr>
        <w:ind w:firstLine="565" w:firstLineChars="202"/>
        <w:rPr>
          <w:rFonts w:ascii="仿宋" w:hAnsi="仿宋" w:eastAsia="仿宋"/>
          <w:bCs/>
          <w:sz w:val="28"/>
          <w:szCs w:val="28"/>
          <w:u w:val="single"/>
        </w:rPr>
      </w:pPr>
      <w:r>
        <w:rPr>
          <w:rFonts w:hint="eastAsia" w:ascii="仿宋" w:hAnsi="仿宋" w:eastAsia="仿宋"/>
          <w:sz w:val="28"/>
          <w:szCs w:val="28"/>
        </w:rPr>
        <w:t>截止时间：2021年7月5日15点00分</w:t>
      </w:r>
      <w:r>
        <w:rPr>
          <w:rFonts w:hint="eastAsia" w:ascii="仿宋" w:hAnsi="仿宋" w:eastAsia="仿宋"/>
          <w:bCs/>
          <w:sz w:val="28"/>
          <w:szCs w:val="28"/>
        </w:rPr>
        <w:t>（北京时间）</w:t>
      </w:r>
    </w:p>
    <w:p>
      <w:pPr>
        <w:widowControl/>
        <w:shd w:val="clear" w:color="auto" w:fill="FFFFFF"/>
        <w:spacing w:line="5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安庆市公共资源交易中心(具体开标地点见当天一楼大厅电子显示屏)</w:t>
      </w:r>
    </w:p>
    <w:p>
      <w:pPr>
        <w:rPr>
          <w:rFonts w:ascii="黑体" w:hAnsi="黑体" w:eastAsia="黑体" w:cs="宋体"/>
          <w:bCs/>
          <w:sz w:val="28"/>
          <w:szCs w:val="28"/>
        </w:rPr>
      </w:pPr>
      <w:bookmarkStart w:id="21" w:name="_Toc28359093"/>
      <w:bookmarkStart w:id="22" w:name="_Toc35393802"/>
      <w:bookmarkStart w:id="23" w:name="_Toc28359016"/>
      <w:bookmarkStart w:id="24" w:name="_Toc35393633"/>
      <w:r>
        <w:rPr>
          <w:rFonts w:hint="eastAsia" w:ascii="黑体" w:hAnsi="黑体" w:eastAsia="黑体" w:cs="宋体"/>
          <w:bCs/>
          <w:sz w:val="28"/>
          <w:szCs w:val="28"/>
        </w:rPr>
        <w:t>五、开启</w:t>
      </w:r>
      <w:bookmarkEnd w:id="21"/>
      <w:bookmarkEnd w:id="22"/>
      <w:bookmarkEnd w:id="23"/>
      <w:bookmarkEnd w:id="24"/>
    </w:p>
    <w:p>
      <w:pPr>
        <w:ind w:firstLine="565" w:firstLineChars="202"/>
        <w:rPr>
          <w:rFonts w:ascii="仿宋" w:hAnsi="仿宋" w:eastAsia="仿宋"/>
          <w:bCs/>
          <w:sz w:val="28"/>
          <w:szCs w:val="28"/>
          <w:u w:val="single"/>
        </w:rPr>
      </w:pPr>
      <w:r>
        <w:rPr>
          <w:rFonts w:hint="eastAsia" w:ascii="仿宋" w:hAnsi="仿宋" w:eastAsia="仿宋"/>
          <w:sz w:val="28"/>
          <w:szCs w:val="28"/>
        </w:rPr>
        <w:t>时间：2021年7月5日15点00分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w:t>
      </w:r>
    </w:p>
    <w:p>
      <w:pPr>
        <w:rPr>
          <w:rFonts w:ascii="黑体" w:hAnsi="黑体" w:eastAsia="黑体" w:cs="宋体"/>
          <w:bCs/>
          <w:sz w:val="28"/>
          <w:szCs w:val="28"/>
        </w:rPr>
      </w:pPr>
      <w:bookmarkStart w:id="25" w:name="_Toc35393634"/>
      <w:bookmarkStart w:id="26" w:name="_Toc35393803"/>
      <w:bookmarkStart w:id="27" w:name="_Toc28359094"/>
      <w:bookmarkStart w:id="28" w:name="_Toc28359017"/>
      <w:r>
        <w:rPr>
          <w:rFonts w:hint="eastAsia" w:ascii="黑体" w:hAnsi="黑体" w:eastAsia="黑体" w:cs="宋体"/>
          <w:bCs/>
          <w:sz w:val="28"/>
          <w:szCs w:val="28"/>
        </w:rPr>
        <w:t>六、公告期限</w:t>
      </w:r>
      <w:bookmarkEnd w:id="25"/>
      <w:bookmarkEnd w:id="26"/>
      <w:bookmarkEnd w:id="27"/>
      <w:bookmarkEnd w:id="28"/>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29" w:name="_Toc35393804"/>
      <w:bookmarkStart w:id="30" w:name="_Toc35393635"/>
      <w:r>
        <w:rPr>
          <w:rFonts w:hint="eastAsia" w:ascii="黑体" w:hAnsi="黑体" w:eastAsia="黑体" w:cs="宋体"/>
          <w:bCs/>
          <w:sz w:val="28"/>
          <w:szCs w:val="28"/>
        </w:rPr>
        <w:t>七、其他补充事宜</w:t>
      </w:r>
      <w:bookmarkEnd w:id="29"/>
      <w:bookmarkEnd w:id="30"/>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职业技术学院（https://www.aqvtc.edu.cn/）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3.获取竞争性谈判文件，而放弃参加投标的供应商，请在响应文件提交截止日前以单位名义向504476178@qq.com邮箱发送弃标函（格式自拟）。</w:t>
      </w:r>
    </w:p>
    <w:p>
      <w:pPr>
        <w:rPr>
          <w:rFonts w:ascii="黑体" w:hAnsi="黑体" w:eastAsia="黑体" w:cs="宋体"/>
          <w:bCs/>
          <w:sz w:val="28"/>
          <w:szCs w:val="28"/>
        </w:rPr>
      </w:pPr>
      <w:bookmarkStart w:id="31" w:name="_Toc28359095"/>
      <w:bookmarkStart w:id="32" w:name="_Toc35393636"/>
      <w:bookmarkStart w:id="33" w:name="_Toc28359018"/>
      <w:bookmarkStart w:id="34" w:name="_Toc3539380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1"/>
      <w:bookmarkEnd w:id="32"/>
      <w:bookmarkEnd w:id="33"/>
      <w:bookmarkEnd w:id="34"/>
    </w:p>
    <w:p>
      <w:pPr>
        <w:ind w:firstLine="565" w:firstLineChars="202"/>
        <w:rPr>
          <w:rFonts w:ascii="仿宋" w:hAnsi="仿宋" w:eastAsia="仿宋" w:cs="宋体"/>
          <w:bCs/>
          <w:sz w:val="28"/>
          <w:szCs w:val="28"/>
        </w:rPr>
      </w:pPr>
      <w:bookmarkStart w:id="35" w:name="_Toc28359096"/>
      <w:bookmarkStart w:id="36" w:name="_Toc35393806"/>
      <w:bookmarkStart w:id="37" w:name="_Toc28359019"/>
      <w:bookmarkStart w:id="38" w:name="_Toc35393637"/>
      <w:r>
        <w:rPr>
          <w:rFonts w:hint="eastAsia" w:ascii="仿宋" w:hAnsi="仿宋" w:eastAsia="仿宋" w:cs="宋体"/>
          <w:bCs/>
          <w:sz w:val="28"/>
          <w:szCs w:val="28"/>
        </w:rPr>
        <w:t>1.采购人信息</w:t>
      </w:r>
      <w:bookmarkEnd w:id="35"/>
      <w:bookmarkEnd w:id="36"/>
      <w:bookmarkEnd w:id="37"/>
      <w:bookmarkEnd w:id="38"/>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安庆职业技术学院</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安庆市天柱山东路99号</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仿宋"/>
          <w:kern w:val="0"/>
          <w:sz w:val="28"/>
          <w:szCs w:val="28"/>
        </w:rPr>
        <w:t>余老师</w:t>
      </w:r>
    </w:p>
    <w:p>
      <w:pPr>
        <w:ind w:firstLine="565" w:firstLineChars="202"/>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s="仿宋"/>
          <w:kern w:val="0"/>
          <w:sz w:val="28"/>
          <w:szCs w:val="28"/>
        </w:rPr>
        <w:t>0556-5283045</w:t>
      </w:r>
    </w:p>
    <w:p>
      <w:pPr>
        <w:ind w:firstLine="565" w:firstLineChars="202"/>
        <w:rPr>
          <w:rFonts w:ascii="仿宋" w:hAnsi="仿宋" w:eastAsia="仿宋" w:cs="宋体"/>
          <w:bCs/>
          <w:sz w:val="28"/>
          <w:szCs w:val="28"/>
        </w:rPr>
      </w:pPr>
      <w:bookmarkStart w:id="39" w:name="_Toc28359020"/>
      <w:bookmarkStart w:id="40" w:name="_Toc35393807"/>
      <w:bookmarkStart w:id="41" w:name="_Toc28359097"/>
      <w:bookmarkStart w:id="42" w:name="_Toc35393638"/>
      <w:r>
        <w:rPr>
          <w:rFonts w:hint="eastAsia" w:ascii="仿宋" w:hAnsi="仿宋" w:eastAsia="仿宋" w:cs="宋体"/>
          <w:bCs/>
          <w:sz w:val="28"/>
          <w:szCs w:val="28"/>
        </w:rPr>
        <w:t>2.采购代理机构信息</w:t>
      </w:r>
      <w:bookmarkEnd w:id="39"/>
      <w:bookmarkEnd w:id="40"/>
      <w:bookmarkEnd w:id="41"/>
      <w:bookmarkEnd w:id="42"/>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安庆市龙山路215号五楼政府采购部</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rPr>
        <w:t>武惠梅</w:t>
      </w:r>
    </w:p>
    <w:p>
      <w:pPr>
        <w:ind w:firstLine="565" w:firstLineChars="202"/>
        <w:rPr>
          <w:rFonts w:ascii="仿宋" w:hAnsi="仿宋" w:eastAsia="仿宋"/>
          <w:sz w:val="28"/>
          <w:szCs w:val="28"/>
        </w:rPr>
      </w:pPr>
      <w:r>
        <w:rPr>
          <w:rFonts w:hint="eastAsia" w:ascii="仿宋" w:hAnsi="仿宋" w:eastAsia="仿宋"/>
          <w:sz w:val="28"/>
          <w:szCs w:val="28"/>
        </w:rPr>
        <w:t>联系方式：0556-5991152</w:t>
      </w:r>
    </w:p>
    <w:p>
      <w:pPr>
        <w:ind w:firstLine="565" w:firstLineChars="202"/>
        <w:rPr>
          <w:rFonts w:ascii="仿宋" w:hAnsi="仿宋" w:eastAsia="仿宋" w:cs="宋体"/>
          <w:bCs/>
          <w:sz w:val="28"/>
          <w:szCs w:val="28"/>
        </w:rPr>
      </w:pPr>
      <w:bookmarkStart w:id="43" w:name="_Toc28359098"/>
      <w:bookmarkStart w:id="44" w:name="_Toc35393639"/>
      <w:bookmarkStart w:id="45" w:name="_Toc28359021"/>
      <w:bookmarkStart w:id="46" w:name="_Toc35393808"/>
      <w:r>
        <w:rPr>
          <w:rFonts w:hint="eastAsia" w:ascii="仿宋" w:hAnsi="仿宋" w:eastAsia="仿宋" w:cs="宋体"/>
          <w:bCs/>
          <w:sz w:val="28"/>
          <w:szCs w:val="28"/>
        </w:rPr>
        <w:t>3.项目联系</w:t>
      </w:r>
      <w:r>
        <w:rPr>
          <w:rFonts w:ascii="仿宋" w:hAnsi="仿宋" w:eastAsia="仿宋" w:cs="宋体"/>
          <w:bCs/>
          <w:sz w:val="28"/>
          <w:szCs w:val="28"/>
        </w:rPr>
        <w:t>方式</w:t>
      </w:r>
      <w:bookmarkEnd w:id="43"/>
      <w:bookmarkEnd w:id="44"/>
      <w:bookmarkEnd w:id="45"/>
      <w:bookmarkEnd w:id="46"/>
    </w:p>
    <w:p>
      <w:pPr>
        <w:ind w:firstLine="565" w:firstLineChars="202"/>
        <w:rPr>
          <w:rFonts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cs="仿宋"/>
          <w:kern w:val="0"/>
          <w:sz w:val="28"/>
          <w:szCs w:val="28"/>
        </w:rPr>
        <w:t>余老师</w:t>
      </w:r>
    </w:p>
    <w:p>
      <w:pPr>
        <w:ind w:firstLine="565" w:firstLineChars="202"/>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仿宋"/>
          <w:kern w:val="0"/>
          <w:sz w:val="28"/>
          <w:szCs w:val="28"/>
        </w:rPr>
        <w:t>0556-5283045</w:t>
      </w:r>
    </w:p>
    <w:p>
      <w:pPr>
        <w:rPr>
          <w:rFonts w:ascii="仿宋_GB2312" w:hAnsi="宋体" w:eastAsia="仿宋_GB2312" w:cs="宋体"/>
          <w:kern w:val="0"/>
          <w:sz w:val="32"/>
          <w:szCs w:val="32"/>
        </w:rPr>
      </w:pPr>
    </w:p>
    <w:p>
      <w:pPr>
        <w:pStyle w:val="2"/>
        <w:jc w:val="left"/>
        <w:rPr>
          <w:rFonts w:ascii="宋体" w:hAnsi="宋体" w:cs="宋体"/>
          <w:sz w:val="24"/>
          <w:szCs w:val="36"/>
        </w:rPr>
      </w:pPr>
      <w:r>
        <w:rPr>
          <w:rFonts w:hint="eastAsia" w:ascii="仿宋_GB2312" w:hAnsi="宋体" w:eastAsia="仿宋_GB2312" w:cs="宋体"/>
          <w:kern w:val="0"/>
          <w:sz w:val="28"/>
          <w:szCs w:val="28"/>
        </w:rPr>
        <w:t>附件：</w:t>
      </w:r>
    </w:p>
    <w:p>
      <w:pPr>
        <w:pStyle w:val="2"/>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我单位的要求安庆职业技术学院教学过程支撑系统模块与设备采购项目的竞争性谈判文件电子版，该电子版仅做本次投标使用，并承诺不做外用。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请将安庆职业技术学院教学过程支撑系统模块与设备采购项目竞争性谈判文件发至以下邮箱：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2021年  月  日</w:t>
      </w:r>
    </w:p>
    <w:p>
      <w:pPr>
        <w:ind w:firstLine="640"/>
        <w:rPr>
          <w:rFonts w:ascii="仿宋" w:hAnsi="仿宋" w:eastAsia="仿宋" w:cs="仿宋"/>
          <w:sz w:val="32"/>
          <w:szCs w:val="32"/>
        </w:rPr>
      </w:pPr>
    </w:p>
    <w:p>
      <w:pPr>
        <w:ind w:firstLine="640"/>
        <w:rPr>
          <w:rFonts w:ascii="仿宋" w:hAnsi="仿宋" w:eastAsia="仿宋" w:cs="仿宋"/>
          <w:sz w:val="32"/>
          <w:szCs w:val="32"/>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宋体" w:hAnsi="宋体" w:cs="宋体"/>
        </w:rPr>
      </w:pPr>
      <w:r>
        <w:rPr>
          <w:rFonts w:hint="eastAsia" w:ascii="宋体" w:hAnsi="宋体" w:cs="宋体"/>
        </w:rPr>
        <w:t>第二章   谈判响应人须知</w:t>
      </w:r>
      <w:bookmarkEnd w:id="3"/>
      <w:bookmarkEnd w:id="4"/>
    </w:p>
    <w:p>
      <w:pPr>
        <w:pStyle w:val="44"/>
        <w:rPr>
          <w:rFonts w:ascii="宋体" w:hAnsi="宋体"/>
        </w:rPr>
      </w:pPr>
      <w:bookmarkStart w:id="47" w:name="_Toc27607"/>
      <w:bookmarkStart w:id="48" w:name="_Toc54939189"/>
      <w:r>
        <w:rPr>
          <w:rFonts w:hint="eastAsia" w:ascii="宋体" w:hAnsi="宋体"/>
        </w:rPr>
        <w:t>第一节  谈判响应人须知前附表</w:t>
      </w:r>
      <w:bookmarkEnd w:id="47"/>
      <w:bookmarkEnd w:id="48"/>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szCs w:val="21"/>
              </w:rPr>
            </w:pPr>
            <w:r>
              <w:rPr>
                <w:rFonts w:hint="eastAsia" w:ascii="宋体" w:hAnsi="宋体" w:cs="宋体"/>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rPr>
              <w:t xml:space="preserve"> CG-AZ-2021-012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rPr>
              <w:t>安庆职业技术学院教学过程支撑系统模块与设备采购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代理机构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11万元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自合同签字生效后45日历天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1.满足《中华人民共和国政府采购法》第二十二条规定；</w:t>
            </w:r>
          </w:p>
          <w:p>
            <w:pPr>
              <w:spacing w:line="420" w:lineRule="exact"/>
              <w:rPr>
                <w:rFonts w:ascii="宋体" w:hAnsi="宋体" w:cs="宋体"/>
                <w:szCs w:val="21"/>
              </w:rPr>
            </w:pPr>
            <w:r>
              <w:rPr>
                <w:rFonts w:hint="eastAsia" w:ascii="宋体" w:hAnsi="宋体" w:cs="宋体"/>
                <w:szCs w:val="21"/>
              </w:rPr>
              <w:t>2.落实政府采购政策需满足的资格要求：/</w:t>
            </w:r>
          </w:p>
          <w:p>
            <w:pPr>
              <w:spacing w:line="420" w:lineRule="exact"/>
              <w:rPr>
                <w:rFonts w:ascii="宋体" w:hAnsi="宋体" w:cs="宋体"/>
                <w:szCs w:val="21"/>
              </w:rPr>
            </w:pPr>
            <w:r>
              <w:rPr>
                <w:rFonts w:hint="eastAsia" w:ascii="宋体" w:hAnsi="宋体" w:cs="宋体"/>
                <w:szCs w:val="21"/>
              </w:rPr>
              <w:t>3.本项目的特定资格要求：/</w:t>
            </w:r>
          </w:p>
          <w:p>
            <w:pPr>
              <w:spacing w:line="420" w:lineRule="exact"/>
              <w:rPr>
                <w:rFonts w:ascii="宋体" w:hAnsi="宋体" w:cs="宋体"/>
                <w:szCs w:val="21"/>
              </w:rPr>
            </w:pPr>
            <w:r>
              <w:rPr>
                <w:rFonts w:hint="eastAsia" w:ascii="宋体" w:hAnsi="宋体" w:cs="宋体"/>
                <w:szCs w:val="21"/>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szCs w:val="21"/>
              </w:rPr>
            </w:pPr>
            <w:r>
              <w:rPr>
                <w:rFonts w:hint="eastAsia" w:ascii="宋体" w:hAnsi="宋体" w:cs="宋体"/>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7"/>
              <w:widowControl/>
              <w:spacing w:line="420" w:lineRule="exact"/>
              <w:jc w:val="both"/>
              <w:rPr>
                <w:rFonts w:ascii="宋体" w:hAnsi="宋体" w:eastAsia="宋体" w:cs="宋体"/>
                <w:sz w:val="21"/>
                <w:szCs w:val="21"/>
              </w:rPr>
            </w:pPr>
            <w:r>
              <w:rPr>
                <w:rFonts w:hint="eastAsia" w:ascii="宋体" w:hAnsi="宋体" w:eastAsia="宋体" w:cs="宋体"/>
                <w:sz w:val="21"/>
                <w:szCs w:val="21"/>
              </w:rPr>
              <w:t>1、提交响应文件截止时间：2021年7月5日15点00分</w:t>
            </w:r>
          </w:p>
          <w:p>
            <w:pPr>
              <w:adjustRightInd w:val="0"/>
              <w:snapToGrid w:val="0"/>
              <w:spacing w:line="420" w:lineRule="exact"/>
              <w:rPr>
                <w:rFonts w:hAnsi="宋体"/>
                <w:szCs w:val="21"/>
              </w:rPr>
            </w:pPr>
            <w:r>
              <w:rPr>
                <w:rFonts w:hint="eastAsia" w:hAnsi="宋体"/>
                <w:szCs w:val="21"/>
              </w:rPr>
              <w:t>2、一</w:t>
            </w:r>
            <w:r>
              <w:rPr>
                <w:rFonts w:hAnsi="宋体"/>
                <w:szCs w:val="21"/>
              </w:rPr>
              <w:t>份正本，</w:t>
            </w:r>
            <w:r>
              <w:rPr>
                <w:rFonts w:hint="eastAsia" w:hAnsi="宋体"/>
                <w:szCs w:val="21"/>
              </w:rPr>
              <w:t>一</w:t>
            </w:r>
            <w:r>
              <w:rPr>
                <w:rFonts w:hAnsi="宋体"/>
                <w:szCs w:val="21"/>
              </w:rPr>
              <w:t>份副本</w:t>
            </w:r>
            <w:r>
              <w:rPr>
                <w:rFonts w:hint="eastAsia" w:hAnsi="宋体"/>
                <w:szCs w:val="21"/>
              </w:rPr>
              <w:t>，</w:t>
            </w:r>
            <w:r>
              <w:rPr>
                <w:rFonts w:hint="eastAsia" w:hAnsi="宋体"/>
              </w:rPr>
              <w:t>装在同一密封袋内，</w:t>
            </w:r>
            <w:r>
              <w:rPr>
                <w:rFonts w:hint="eastAsia" w:hAnsi="宋体" w:cs="宋体"/>
              </w:rPr>
              <w:t>密封提交。</w:t>
            </w:r>
          </w:p>
          <w:p>
            <w:pPr>
              <w:pStyle w:val="11"/>
              <w:spacing w:line="420" w:lineRule="exact"/>
              <w:rPr>
                <w:rFonts w:ascii="Times New Roman" w:hAnsi="Times New Roman"/>
              </w:rPr>
            </w:pPr>
            <w:r>
              <w:rPr>
                <w:rFonts w:hint="eastAsia" w:ascii="Times New Roman" w:hAnsi="Times New Roman"/>
              </w:rPr>
              <w:t>3、密封袋上应加盖响应人公章。</w:t>
            </w:r>
          </w:p>
          <w:p>
            <w:pPr>
              <w:pStyle w:val="7"/>
              <w:widowControl/>
              <w:spacing w:line="420" w:lineRule="exact"/>
              <w:jc w:val="both"/>
              <w:rPr>
                <w:rFonts w:ascii="宋体" w:hAnsi="宋体" w:eastAsia="宋体" w:cs="宋体"/>
                <w:sz w:val="21"/>
                <w:szCs w:val="21"/>
              </w:rPr>
            </w:pPr>
            <w:r>
              <w:rPr>
                <w:rFonts w:hint="eastAsia" w:ascii="Times New Roman" w:eastAsia="宋体"/>
                <w:sz w:val="21"/>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szCs w:val="21"/>
              </w:rPr>
            </w:pPr>
            <w:r>
              <w:rPr>
                <w:rFonts w:hint="eastAsia" w:ascii="宋体" w:hAnsi="宋体" w:cs="宋体"/>
                <w:szCs w:val="21"/>
              </w:rPr>
              <w:t>在安庆职业技术学院（https://www.aqvtc.edu.cn/）招标采购栏目、安庆市皖宜项目咨询管理有</w:t>
            </w:r>
            <w:bookmarkStart w:id="104" w:name="_GoBack"/>
            <w:bookmarkEnd w:id="104"/>
            <w:r>
              <w:rPr>
                <w:rFonts w:hint="eastAsia" w:ascii="宋体" w:hAnsi="宋体" w:cs="宋体"/>
                <w:szCs w:val="21"/>
              </w:rPr>
              <w:t>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时间:2021年7月5日15点00分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20" w:lineRule="exact"/>
              <w:ind w:firstLine="525" w:firstLineChars="250"/>
              <w:rPr>
                <w:rFonts w:ascii="宋体" w:hAnsi="宋体" w:cs="宋体"/>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p>
          <w:p>
            <w:pPr>
              <w:spacing w:line="420" w:lineRule="exact"/>
              <w:jc w:val="center"/>
              <w:rPr>
                <w:rFonts w:ascii="宋体" w:hAnsi="宋体" w:cs="宋体"/>
                <w:szCs w:val="21"/>
              </w:rPr>
            </w:pPr>
            <w:r>
              <w:rPr>
                <w:rFonts w:hint="eastAsia" w:ascii="宋体" w:hAnsi="宋体" w:cs="宋体"/>
                <w:szCs w:val="21"/>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b/>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履约保证金金额：成交价的</w:t>
            </w:r>
            <w:r>
              <w:rPr>
                <w:rFonts w:hint="eastAsia" w:ascii="宋体" w:hAnsi="宋体" w:cs="宋体"/>
                <w:szCs w:val="21"/>
                <w:u w:val="single"/>
              </w:rPr>
              <w:t xml:space="preserve"> 5 </w:t>
            </w:r>
            <w:r>
              <w:rPr>
                <w:rFonts w:hint="eastAsia" w:ascii="宋体" w:hAnsi="宋体" w:cs="宋体"/>
                <w:szCs w:val="21"/>
              </w:rPr>
              <w:t>%</w:t>
            </w:r>
          </w:p>
          <w:p>
            <w:pPr>
              <w:spacing w:line="420" w:lineRule="exact"/>
              <w:rPr>
                <w:rFonts w:ascii="宋体" w:hAnsi="宋体" w:cs="宋体"/>
                <w:szCs w:val="21"/>
              </w:rPr>
            </w:pPr>
            <w:r>
              <w:rPr>
                <w:rFonts w:hint="eastAsia" w:ascii="宋体" w:hAnsi="宋体" w:cs="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szCs w:val="21"/>
              </w:rPr>
            </w:pPr>
            <w:r>
              <w:rPr>
                <w:rFonts w:hint="eastAsia" w:ascii="宋体" w:hAnsi="宋体" w:cs="宋体"/>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项目实施完毕试运行一个月后，进行验收，验收通过后支付全部合同价款。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1、本竞争性谈判文件的解释权归采购单位；</w:t>
            </w:r>
          </w:p>
          <w:p>
            <w:pPr>
              <w:spacing w:line="420" w:lineRule="exact"/>
              <w:rPr>
                <w:rFonts w:ascii="宋体" w:hAnsi="宋体" w:cs="宋体"/>
                <w:szCs w:val="21"/>
              </w:rPr>
            </w:pPr>
            <w:r>
              <w:rPr>
                <w:rFonts w:hint="eastAsia" w:ascii="宋体" w:hAnsi="宋体" w:cs="宋体"/>
                <w:b/>
                <w:szCs w:val="21"/>
              </w:rPr>
              <w:t>2、本项目若涉及到专业分包工程，如成交人没有相应资质，则必须委托有资质的单位实施。该专业分包单位的选定须事先征得采购人同意。</w:t>
            </w:r>
          </w:p>
        </w:tc>
      </w:tr>
    </w:tbl>
    <w:p>
      <w:pPr>
        <w:pStyle w:val="44"/>
        <w:rPr>
          <w:rFonts w:ascii="宋体" w:hAnsi="宋体"/>
        </w:rPr>
      </w:pPr>
      <w:bookmarkStart w:id="49" w:name="_Toc14999"/>
      <w:bookmarkStart w:id="50" w:name="_Toc54939190"/>
      <w:r>
        <w:rPr>
          <w:rFonts w:hint="eastAsia" w:ascii="宋体" w:hAnsi="宋体"/>
        </w:rPr>
        <w:t>第二节  谈判响应人须知</w:t>
      </w:r>
      <w:bookmarkEnd w:id="49"/>
      <w:bookmarkEnd w:id="50"/>
    </w:p>
    <w:p>
      <w:pPr>
        <w:pStyle w:val="5"/>
        <w:ind w:firstLine="472" w:firstLineChars="196"/>
        <w:jc w:val="both"/>
        <w:rPr>
          <w:rFonts w:hAnsi="宋体" w:cs="宋体"/>
        </w:rPr>
      </w:pPr>
      <w:bookmarkStart w:id="51" w:name="_Toc7034"/>
      <w:bookmarkStart w:id="52" w:name="_Toc54939191"/>
      <w:r>
        <w:rPr>
          <w:rFonts w:hint="eastAsia" w:hAnsi="宋体" w:cs="宋体"/>
        </w:rPr>
        <w:t>一、总则</w:t>
      </w:r>
      <w:bookmarkEnd w:id="51"/>
      <w:bookmarkEnd w:id="52"/>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2.1、采购单位是指采购人和采购代理机构。</w:t>
      </w:r>
    </w:p>
    <w:p>
      <w:pPr>
        <w:spacing w:line="360" w:lineRule="auto"/>
        <w:ind w:firstLine="420" w:firstLineChars="200"/>
        <w:rPr>
          <w:rFonts w:ascii="宋体" w:hAnsi="宋体" w:cs="宋体"/>
          <w:szCs w:val="21"/>
        </w:rPr>
      </w:pPr>
      <w:r>
        <w:rPr>
          <w:rFonts w:hint="eastAsia" w:ascii="宋体" w:hAnsi="宋体" w:cs="宋体"/>
          <w:szCs w:val="21"/>
        </w:rPr>
        <w:t>2.2、谈判响应人是指对“谈判响应人须知前附表”序号2所指的项目表现出兴趣，按照</w:t>
      </w:r>
      <w:r>
        <w:rPr>
          <w:rFonts w:hint="eastAsia" w:ascii="宋体" w:hAnsi="宋体" w:cs="宋体"/>
        </w:rPr>
        <w:t>约定</w:t>
      </w:r>
      <w:r>
        <w:rPr>
          <w:rFonts w:hint="eastAsia" w:ascii="宋体" w:hAnsi="宋体" w:cs="宋体"/>
          <w:szCs w:val="21"/>
        </w:rPr>
        <w:t>的程序，从采购单位获取了竞争性谈判文件，并实际参与了该项目谈判活动的供应商。</w:t>
      </w:r>
    </w:p>
    <w:p>
      <w:pPr>
        <w:spacing w:line="360" w:lineRule="auto"/>
        <w:ind w:firstLine="422" w:firstLineChars="200"/>
        <w:rPr>
          <w:rFonts w:ascii="宋体" w:hAnsi="宋体" w:cs="宋体"/>
          <w:b/>
          <w:szCs w:val="21"/>
        </w:rPr>
      </w:pPr>
      <w:r>
        <w:rPr>
          <w:rFonts w:hint="eastAsia" w:ascii="宋体" w:hAnsi="宋体" w:cs="宋体"/>
          <w:b/>
          <w:szCs w:val="21"/>
        </w:rPr>
        <w:t>3、谈判响应人资格要求</w:t>
      </w:r>
    </w:p>
    <w:p>
      <w:pPr>
        <w:spacing w:line="360" w:lineRule="auto"/>
        <w:ind w:firstLine="420" w:firstLineChars="200"/>
        <w:rPr>
          <w:rFonts w:ascii="宋体" w:hAnsi="宋体" w:cs="宋体"/>
          <w:szCs w:val="21"/>
        </w:rPr>
      </w:pPr>
      <w:r>
        <w:rPr>
          <w:rFonts w:hint="eastAsia" w:ascii="宋体" w:hAnsi="宋体" w:cs="宋体"/>
          <w:szCs w:val="21"/>
        </w:rPr>
        <w:t>3.1、参与本项目的谈判响应人必须满足的要求：详见谈判响应人须知前附表。</w:t>
      </w:r>
    </w:p>
    <w:p>
      <w:pPr>
        <w:spacing w:line="500" w:lineRule="exact"/>
        <w:ind w:firstLine="420" w:firstLineChars="200"/>
        <w:rPr>
          <w:rFonts w:ascii="宋体" w:hAnsi="宋体" w:cs="宋体"/>
          <w:szCs w:val="21"/>
        </w:rPr>
      </w:pPr>
      <w:r>
        <w:rPr>
          <w:rFonts w:hint="eastAsia" w:ascii="宋体" w:hAnsi="宋体" w:cs="宋体"/>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rPr>
        <w:t>单位负责人为同一人或者存在直接控股、管理关系的不同供应商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除单一来源采购项目外，为采购项目提供整体设计、规范编制或者项目管理、监理、检测等服务的供应商</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szCs w:val="21"/>
        </w:rPr>
        <w:t>谈判</w:t>
      </w:r>
      <w:r>
        <w:rPr>
          <w:rFonts w:hint="eastAsia" w:ascii="Arial" w:hAnsi="Arial" w:cs="Arial"/>
        </w:rPr>
        <w:t>，须取得总公司的相关授权（</w:t>
      </w:r>
      <w:r>
        <w:rPr>
          <w:rFonts w:hint="eastAsia" w:ascii="宋体" w:hAnsi="宋体" w:cs="宋体"/>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、谈判响应人必须确保自己信息真实、准确，否则，谈判响应人因此蒙受损失，采购单位概不负责。</w:t>
      </w:r>
    </w:p>
    <w:p>
      <w:pPr>
        <w:spacing w:line="360" w:lineRule="auto"/>
        <w:ind w:firstLine="422" w:firstLineChars="200"/>
        <w:rPr>
          <w:rFonts w:ascii="宋体" w:hAnsi="宋体" w:cs="宋体"/>
          <w:szCs w:val="21"/>
        </w:rPr>
      </w:pPr>
      <w:r>
        <w:rPr>
          <w:rFonts w:hint="eastAsia" w:ascii="宋体" w:hAnsi="宋体" w:cs="宋体"/>
          <w:b/>
        </w:rPr>
        <w:t>4、踏勘现场：</w:t>
      </w:r>
      <w:r>
        <w:rPr>
          <w:rFonts w:hint="eastAsia" w:ascii="宋体" w:hAnsi="宋体" w:cs="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szCs w:val="21"/>
        </w:rPr>
      </w:pPr>
      <w:r>
        <w:rPr>
          <w:rFonts w:hint="eastAsia" w:ascii="宋体" w:hAnsi="宋体" w:cs="宋体"/>
          <w:b/>
          <w:szCs w:val="21"/>
        </w:rPr>
        <w:t>5、联合体响应</w:t>
      </w:r>
    </w:p>
    <w:p>
      <w:pPr>
        <w:spacing w:line="360" w:lineRule="auto"/>
        <w:rPr>
          <w:rFonts w:ascii="宋体" w:hAnsi="宋体" w:cs="宋体"/>
          <w:szCs w:val="21"/>
        </w:rPr>
      </w:pPr>
      <w:r>
        <w:rPr>
          <w:rFonts w:hint="eastAsia" w:ascii="宋体" w:hAnsi="宋体" w:cs="宋体"/>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szCs w:val="21"/>
        </w:rPr>
      </w:pPr>
      <w:r>
        <w:rPr>
          <w:rFonts w:hint="eastAsia" w:ascii="宋体" w:hAnsi="宋体" w:cs="宋体"/>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szCs w:val="21"/>
        </w:rPr>
      </w:pPr>
      <w:r>
        <w:rPr>
          <w:rFonts w:hint="eastAsia" w:ascii="宋体" w:hAnsi="宋体" w:cs="宋体"/>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szCs w:val="21"/>
        </w:rPr>
      </w:pPr>
      <w:r>
        <w:rPr>
          <w:rFonts w:hint="eastAsia" w:ascii="宋体" w:hAnsi="宋体" w:cs="宋体"/>
          <w:b/>
        </w:rPr>
        <w:t>6、谈判响应费用：</w:t>
      </w:r>
      <w:r>
        <w:rPr>
          <w:rFonts w:hint="eastAsia" w:ascii="宋体" w:hAnsi="宋体" w:cs="宋体"/>
          <w:b/>
          <w:szCs w:val="21"/>
        </w:rPr>
        <w:t>谈判响应人必须自行承担参加谈判响应的所有费用。</w:t>
      </w:r>
      <w:r>
        <w:rPr>
          <w:rFonts w:hint="eastAsia" w:ascii="宋体" w:hAnsi="宋体" w:cs="宋体"/>
          <w:szCs w:val="21"/>
        </w:rPr>
        <w:t>不论成交与否，采购单位在任何情况下均无义务和责任承担这些费用。</w:t>
      </w:r>
    </w:p>
    <w:p>
      <w:pPr>
        <w:pStyle w:val="5"/>
        <w:ind w:firstLine="472" w:firstLineChars="196"/>
        <w:rPr>
          <w:rFonts w:hAnsi="宋体" w:cs="宋体"/>
        </w:rPr>
      </w:pPr>
      <w:bookmarkStart w:id="53" w:name="_Toc54939192"/>
      <w:bookmarkStart w:id="54" w:name="_Toc8536"/>
      <w:r>
        <w:rPr>
          <w:rFonts w:hint="eastAsia" w:hAnsi="宋体" w:cs="宋体"/>
        </w:rPr>
        <w:t>二、竞争性谈判文件</w:t>
      </w:r>
      <w:bookmarkEnd w:id="53"/>
      <w:bookmarkEnd w:id="54"/>
    </w:p>
    <w:p>
      <w:pPr>
        <w:spacing w:line="360" w:lineRule="auto"/>
        <w:ind w:firstLine="422" w:firstLineChars="200"/>
        <w:rPr>
          <w:rFonts w:ascii="宋体" w:hAnsi="宋体" w:cs="宋体"/>
          <w:b/>
          <w:szCs w:val="21"/>
        </w:rPr>
      </w:pPr>
      <w:r>
        <w:rPr>
          <w:rFonts w:hint="eastAsia" w:ascii="宋体" w:hAnsi="宋体" w:cs="宋体"/>
          <w:b/>
          <w:szCs w:val="21"/>
        </w:rPr>
        <w:t>7、竞争性谈判文件的构成</w:t>
      </w:r>
    </w:p>
    <w:p>
      <w:pPr>
        <w:spacing w:line="360" w:lineRule="auto"/>
        <w:ind w:firstLine="420" w:firstLineChars="200"/>
        <w:rPr>
          <w:rFonts w:ascii="宋体" w:hAnsi="宋体" w:cs="宋体"/>
          <w:szCs w:val="21"/>
        </w:rPr>
      </w:pPr>
      <w:r>
        <w:rPr>
          <w:rFonts w:hint="eastAsia" w:ascii="宋体" w:hAnsi="宋体" w:cs="宋体"/>
          <w:szCs w:val="21"/>
        </w:rPr>
        <w:t>7.1、竞争性谈判文件包括：</w:t>
      </w:r>
    </w:p>
    <w:p>
      <w:pPr>
        <w:spacing w:line="360" w:lineRule="auto"/>
        <w:ind w:firstLine="420" w:firstLineChars="200"/>
        <w:rPr>
          <w:rFonts w:ascii="宋体" w:hAnsi="宋体" w:cs="宋体"/>
          <w:szCs w:val="21"/>
        </w:rPr>
      </w:pPr>
      <w:r>
        <w:rPr>
          <w:rFonts w:hint="eastAsia" w:ascii="宋体" w:hAnsi="宋体" w:cs="宋体"/>
          <w:szCs w:val="21"/>
        </w:rPr>
        <w:t>（1）第一章  竞争性谈判公告；</w:t>
      </w:r>
    </w:p>
    <w:p>
      <w:pPr>
        <w:spacing w:line="360" w:lineRule="auto"/>
        <w:ind w:firstLine="420" w:firstLineChars="200"/>
        <w:rPr>
          <w:rFonts w:ascii="宋体" w:hAnsi="宋体" w:cs="宋体"/>
          <w:szCs w:val="21"/>
        </w:rPr>
      </w:pPr>
      <w:r>
        <w:rPr>
          <w:rFonts w:hint="eastAsia" w:ascii="宋体" w:hAnsi="宋体" w:cs="宋体"/>
          <w:szCs w:val="21"/>
        </w:rPr>
        <w:t>（2）第二章  谈判响应人须知；</w:t>
      </w:r>
    </w:p>
    <w:p>
      <w:pPr>
        <w:spacing w:line="360" w:lineRule="auto"/>
        <w:ind w:firstLine="420" w:firstLineChars="200"/>
        <w:rPr>
          <w:rFonts w:ascii="宋体" w:hAnsi="宋体" w:cs="宋体"/>
          <w:szCs w:val="21"/>
        </w:rPr>
      </w:pPr>
      <w:r>
        <w:rPr>
          <w:rFonts w:hint="eastAsia" w:ascii="宋体" w:hAnsi="宋体" w:cs="宋体"/>
          <w:szCs w:val="21"/>
        </w:rPr>
        <w:t xml:space="preserve">（3）第三章  </w:t>
      </w:r>
      <w:r>
        <w:rPr>
          <w:rFonts w:hint="eastAsia" w:ascii="宋体" w:hAnsi="宋体" w:cs="宋体"/>
          <w:color w:val="000000"/>
          <w:szCs w:val="21"/>
        </w:rPr>
        <w:t>货物需求及技术要求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（4）第四章  合同主要条款；</w:t>
      </w:r>
    </w:p>
    <w:p>
      <w:pPr>
        <w:spacing w:line="360" w:lineRule="auto"/>
        <w:ind w:firstLine="420" w:firstLineChars="200"/>
        <w:rPr>
          <w:rFonts w:ascii="宋体" w:hAnsi="宋体" w:cs="宋体"/>
          <w:szCs w:val="21"/>
        </w:rPr>
      </w:pPr>
      <w:r>
        <w:rPr>
          <w:rFonts w:hint="eastAsia" w:ascii="宋体" w:hAnsi="宋体" w:cs="宋体"/>
          <w:szCs w:val="21"/>
        </w:rPr>
        <w:t>（5）第五章  谈判响应文件格式。</w:t>
      </w:r>
    </w:p>
    <w:p>
      <w:pPr>
        <w:spacing w:line="360" w:lineRule="auto"/>
        <w:rPr>
          <w:rFonts w:ascii="宋体" w:hAnsi="宋体" w:cs="宋体"/>
          <w:szCs w:val="21"/>
        </w:rPr>
      </w:pPr>
      <w:r>
        <w:rPr>
          <w:rFonts w:hint="eastAsia" w:ascii="宋体" w:hAnsi="宋体" w:cs="宋体"/>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504476178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szCs w:val="21"/>
        </w:rPr>
      </w:pPr>
      <w:r>
        <w:rPr>
          <w:rFonts w:hint="eastAsia" w:ascii="宋体" w:hAnsi="宋体" w:cs="宋体"/>
          <w:b/>
          <w:szCs w:val="21"/>
        </w:rPr>
        <w:t>8、竞争性谈判文件的澄清</w:t>
      </w:r>
    </w:p>
    <w:p>
      <w:pPr>
        <w:spacing w:line="360" w:lineRule="auto"/>
        <w:rPr>
          <w:rFonts w:ascii="宋体" w:hAnsi="宋体" w:cs="宋体"/>
          <w:szCs w:val="21"/>
        </w:rPr>
      </w:pP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8.2、谈判响应人对竞争性谈判文件如有质疑，应在提交响应文件截止时间2个工作日前向采购单位提出并将问题发送至邮箱504476178@qq.com。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时间收到的、且需要做出澄清的问题，将以本须知所述方式进行答复，但不说明问题的来源。</w:t>
      </w:r>
    </w:p>
    <w:p>
      <w:pPr>
        <w:spacing w:line="360" w:lineRule="auto"/>
        <w:ind w:firstLine="422" w:firstLineChars="200"/>
        <w:rPr>
          <w:rFonts w:ascii="宋体" w:hAnsi="宋体" w:cs="宋体"/>
          <w:b/>
          <w:szCs w:val="21"/>
        </w:rPr>
      </w:pPr>
      <w:r>
        <w:rPr>
          <w:rFonts w:hint="eastAsia" w:ascii="宋体" w:hAnsi="宋体" w:cs="宋体"/>
          <w:b/>
          <w:szCs w:val="21"/>
        </w:rPr>
        <w:t>9、竞争性谈判文件的修改</w:t>
      </w:r>
    </w:p>
    <w:p>
      <w:pPr>
        <w:spacing w:line="360" w:lineRule="auto"/>
        <w:rPr>
          <w:rFonts w:ascii="宋体" w:hAnsi="宋体" w:cs="宋体"/>
          <w:szCs w:val="21"/>
        </w:rPr>
      </w:pPr>
      <w:r>
        <w:rPr>
          <w:rFonts w:hint="eastAsia" w:ascii="宋体" w:hAnsi="宋体" w:cs="宋体"/>
          <w:szCs w:val="21"/>
        </w:rPr>
        <w:t xml:space="preserve">    9.1、采购单位可以对竞争性谈判文件进行修改。</w:t>
      </w:r>
    </w:p>
    <w:p>
      <w:pPr>
        <w:spacing w:line="360" w:lineRule="auto"/>
        <w:ind w:firstLine="422" w:firstLineChars="200"/>
        <w:rPr>
          <w:rFonts w:ascii="宋体" w:hAnsi="宋体" w:cs="宋体"/>
          <w:b/>
          <w:bCs/>
          <w:szCs w:val="21"/>
        </w:rPr>
      </w:pPr>
      <w:r>
        <w:rPr>
          <w:rFonts w:hint="eastAsia" w:ascii="宋体" w:hAnsi="宋体" w:cs="宋体"/>
          <w:b/>
          <w:bCs/>
          <w:szCs w:val="21"/>
        </w:rPr>
        <w:t>9.2、采购单位对谈判响应人质疑的答复和对竞争性谈判文件的澄清、修改、补充说明等内容均通过安庆职业技术学院（https://www.aqvtc.edu.cn/）招标采购栏目发布，该修改内容作为竞争性谈判文件的组成部分，具有约束作用。</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rPr>
          <w:rFonts w:ascii="宋体" w:hAnsi="宋体" w:cs="宋体"/>
          <w:szCs w:val="21"/>
        </w:rPr>
      </w:pPr>
      <w:r>
        <w:rPr>
          <w:rFonts w:hint="eastAsia" w:ascii="宋体" w:hAnsi="宋体" w:cs="宋体"/>
          <w:szCs w:val="21"/>
        </w:rPr>
        <w:t xml:space="preserve">    9.4、为使谈判响应人有充分时间对竞争性谈判文件的澄清、修改、补充部分进行研究，或是由于其他原因，采购单位可以决定顺延提交响应文件截止时间，具体时间通过安庆职业技术学院网站发布。</w:t>
      </w:r>
    </w:p>
    <w:p>
      <w:pPr>
        <w:pStyle w:val="5"/>
        <w:ind w:firstLine="482" w:firstLineChars="200"/>
        <w:rPr>
          <w:rFonts w:hAnsi="宋体" w:cs="宋体"/>
        </w:rPr>
      </w:pPr>
      <w:bookmarkStart w:id="55" w:name="_Toc54939193"/>
      <w:bookmarkStart w:id="56" w:name="_Toc9821"/>
      <w:r>
        <w:rPr>
          <w:rFonts w:hint="eastAsia" w:hAnsi="宋体" w:cs="宋体"/>
        </w:rPr>
        <w:t>三、谈判响应文件的编制</w:t>
      </w:r>
      <w:bookmarkEnd w:id="55"/>
      <w:bookmarkEnd w:id="56"/>
    </w:p>
    <w:p>
      <w:pPr>
        <w:spacing w:line="360" w:lineRule="auto"/>
        <w:rPr>
          <w:rFonts w:ascii="宋体" w:hAnsi="宋体" w:cs="宋体"/>
          <w:b/>
          <w:szCs w:val="21"/>
        </w:rPr>
      </w:pPr>
      <w:r>
        <w:rPr>
          <w:rFonts w:hint="eastAsia" w:ascii="宋体" w:hAnsi="宋体" w:cs="宋体"/>
          <w:b/>
          <w:szCs w:val="21"/>
        </w:rPr>
        <w:t xml:space="preserve">    10、谈判响应的语言及度量衡单位</w:t>
      </w:r>
    </w:p>
    <w:p>
      <w:pPr>
        <w:spacing w:line="360" w:lineRule="auto"/>
        <w:rPr>
          <w:rFonts w:ascii="宋体" w:hAnsi="宋体" w:cs="宋体"/>
          <w:szCs w:val="21"/>
        </w:rPr>
      </w:pPr>
      <w:r>
        <w:rPr>
          <w:rFonts w:hint="eastAsia" w:ascii="宋体" w:hAnsi="宋体" w:cs="宋体"/>
          <w:szCs w:val="21"/>
        </w:rPr>
        <w:t xml:space="preserve">    10.1、谈判响应人的谈判响应文件、谈判响应人与采购单位就谈判响应的所有往来函电，均须使用简体中文。</w:t>
      </w:r>
    </w:p>
    <w:p>
      <w:pPr>
        <w:spacing w:line="360" w:lineRule="auto"/>
        <w:rPr>
          <w:rFonts w:ascii="宋体" w:hAnsi="宋体" w:cs="宋体"/>
          <w:szCs w:val="21"/>
        </w:rPr>
      </w:pPr>
      <w:r>
        <w:rPr>
          <w:rFonts w:hint="eastAsia" w:ascii="宋体" w:hAnsi="宋体" w:cs="宋体"/>
          <w:szCs w:val="21"/>
        </w:rPr>
        <w:t xml:space="preserve">    10.2、除竞争性谈判文件中另有</w:t>
      </w:r>
      <w:r>
        <w:rPr>
          <w:rFonts w:hint="eastAsia" w:ascii="宋体" w:hAnsi="宋体" w:cs="宋体"/>
        </w:rPr>
        <w:t>约定</w:t>
      </w:r>
      <w:r>
        <w:rPr>
          <w:rFonts w:hint="eastAsia" w:ascii="宋体" w:hAnsi="宋体" w:cs="宋体"/>
          <w:szCs w:val="21"/>
        </w:rPr>
        <w:t>外，谈判响应文件所使用的度量衡均须采用中华人民共和国法定计量单位。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rPr>
        <w:t>11、谈判响应文件的构成</w:t>
      </w:r>
    </w:p>
    <w:p>
      <w:pPr>
        <w:spacing w:line="360" w:lineRule="auto"/>
        <w:ind w:firstLine="420" w:firstLineChars="200"/>
        <w:rPr>
          <w:rFonts w:ascii="宋体" w:hAnsi="宋体" w:cs="宋体"/>
          <w:szCs w:val="21"/>
        </w:rPr>
      </w:pPr>
      <w:r>
        <w:rPr>
          <w:rFonts w:hint="eastAsia" w:ascii="宋体" w:hAnsi="宋体" w:cs="宋体"/>
          <w:szCs w:val="21"/>
        </w:rPr>
        <w:t>11.1、谈判响应文件应该按照“谈判响应文件格式”</w:t>
      </w:r>
      <w:r>
        <w:rPr>
          <w:rFonts w:hint="eastAsia" w:ascii="宋体" w:hAnsi="宋体" w:cs="宋体"/>
        </w:rPr>
        <w:t>约定</w:t>
      </w:r>
      <w:r>
        <w:rPr>
          <w:rFonts w:hint="eastAsia" w:ascii="宋体" w:hAnsi="宋体" w:cs="宋体"/>
          <w:szCs w:val="21"/>
        </w:rPr>
        <w:t>的内容和顺序进行编写。</w:t>
      </w:r>
    </w:p>
    <w:p>
      <w:pPr>
        <w:spacing w:line="360" w:lineRule="auto"/>
        <w:ind w:firstLine="420" w:firstLineChars="200"/>
        <w:rPr>
          <w:rFonts w:ascii="宋体" w:hAnsi="宋体" w:cs="宋体"/>
          <w:szCs w:val="21"/>
        </w:rPr>
      </w:pPr>
      <w:r>
        <w:rPr>
          <w:rFonts w:hint="eastAsia" w:ascii="宋体" w:hAnsi="宋体" w:cs="宋体"/>
          <w:szCs w:val="21"/>
        </w:rPr>
        <w:t>11.2、谈判响应人应提交“谈判响应人须知前附表”中</w:t>
      </w:r>
      <w:r>
        <w:rPr>
          <w:rFonts w:hint="eastAsia" w:ascii="宋体" w:hAnsi="宋体" w:cs="宋体"/>
        </w:rPr>
        <w:t>约定</w:t>
      </w:r>
      <w:r>
        <w:rPr>
          <w:rFonts w:hint="eastAsia" w:ascii="宋体" w:hAnsi="宋体" w:cs="宋体"/>
          <w:szCs w:val="21"/>
        </w:rPr>
        <w:t>的谈判响应文件。</w:t>
      </w:r>
    </w:p>
    <w:p>
      <w:pPr>
        <w:spacing w:line="360" w:lineRule="auto"/>
        <w:ind w:firstLine="420" w:firstLineChars="200"/>
        <w:rPr>
          <w:rFonts w:ascii="宋体" w:hAnsi="宋体" w:cs="宋体"/>
          <w:szCs w:val="21"/>
        </w:rPr>
      </w:pPr>
      <w:r>
        <w:rPr>
          <w:rFonts w:hint="eastAsia" w:ascii="宋体" w:hAnsi="宋体" w:cs="宋体"/>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szCs w:val="21"/>
        </w:rPr>
      </w:pPr>
      <w:r>
        <w:rPr>
          <w:rFonts w:hint="eastAsia" w:ascii="宋体" w:hAnsi="宋体" w:cs="宋体"/>
          <w:szCs w:val="21"/>
        </w:rPr>
        <w:t>11.4、谈判响应人提供的产品质量和服务均能满足竞争性谈判文件</w:t>
      </w:r>
      <w:r>
        <w:rPr>
          <w:rFonts w:hint="eastAsia" w:ascii="宋体" w:hAnsi="宋体" w:cs="宋体"/>
        </w:rPr>
        <w:t>约定</w:t>
      </w:r>
      <w:r>
        <w:rPr>
          <w:rFonts w:hint="eastAsia" w:ascii="宋体" w:hAnsi="宋体" w:cs="宋体"/>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szCs w:val="21"/>
        </w:rPr>
      </w:pPr>
      <w:r>
        <w:rPr>
          <w:rFonts w:hint="eastAsia" w:ascii="宋体" w:hAnsi="宋体" w:cs="宋体"/>
          <w:b/>
          <w:szCs w:val="21"/>
        </w:rPr>
        <w:t>12、谈判响应报价</w:t>
      </w:r>
    </w:p>
    <w:p>
      <w:pPr>
        <w:spacing w:line="360" w:lineRule="auto"/>
        <w:ind w:firstLine="420" w:firstLineChars="200"/>
        <w:rPr>
          <w:rFonts w:ascii="宋体" w:hAnsi="宋体" w:cs="宋体"/>
          <w:szCs w:val="21"/>
        </w:rPr>
      </w:pPr>
      <w:r>
        <w:rPr>
          <w:rFonts w:hint="eastAsia" w:ascii="宋体" w:hAnsi="宋体" w:cs="宋体"/>
          <w:szCs w:val="21"/>
        </w:rPr>
        <w:t>12.1、</w:t>
      </w:r>
      <w:r>
        <w:rPr>
          <w:rFonts w:hint="eastAsia" w:ascii="宋体" w:hAnsi="宋体" w:cs="宋体"/>
          <w:color w:val="000000"/>
          <w:szCs w:val="21"/>
        </w:rPr>
        <w:t>谈判响应文件的货物报价表(首轮）上应清楚地标明谈判响应人拟提供货物的名称、生产厂家、品牌（如有）、型号（如有）、单位、数量、单价和总价等内容。单价不作为合同结算依据</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szCs w:val="21"/>
        </w:rPr>
      </w:pPr>
      <w:r>
        <w:rPr>
          <w:rFonts w:hint="eastAsia" w:ascii="宋体" w:hAnsi="宋体" w:cs="宋体"/>
          <w:szCs w:val="21"/>
        </w:rPr>
        <w:t>12.3、</w:t>
      </w:r>
      <w:r>
        <w:rPr>
          <w:rFonts w:hint="eastAsia" w:ascii="宋体" w:hAnsi="宋体" w:cs="宋体"/>
          <w:color w:val="000000"/>
          <w:szCs w:val="21"/>
        </w:rPr>
        <w:t>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.5</w:t>
      </w:r>
      <w:r>
        <w:rPr>
          <w:rFonts w:ascii="宋体" w:hAnsi="宋体" w:cs="宋体"/>
          <w:szCs w:val="21"/>
        </w:rPr>
        <w:t>.1</w:t>
      </w:r>
      <w:r>
        <w:rPr>
          <w:rFonts w:hint="eastAsia" w:ascii="宋体" w:hAnsi="宋体" w:cs="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5.2</w:t>
      </w:r>
      <w:r>
        <w:rPr>
          <w:rFonts w:hint="eastAsia" w:ascii="宋体" w:hAnsi="宋体" w:cs="宋体"/>
          <w:szCs w:val="21"/>
        </w:rPr>
        <w:t>、若大写金额和小写金额不一致的，以大写金额为准;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5.3</w:t>
      </w:r>
      <w:r>
        <w:rPr>
          <w:rFonts w:hint="eastAsia" w:ascii="宋体" w:hAnsi="宋体" w:cs="宋体"/>
          <w:szCs w:val="21"/>
        </w:rPr>
        <w:t>、单价金额小数点或者百分比有明显错位的，应以谈判响应函(谈判响应报价)为准，并修正单价。</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谈判响应货币：</w:t>
      </w:r>
      <w:r>
        <w:rPr>
          <w:rFonts w:hint="eastAsia" w:ascii="宋体" w:hAnsi="宋体" w:cs="宋体"/>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szCs w:val="21"/>
        </w:rPr>
      </w:pPr>
      <w:r>
        <w:rPr>
          <w:rFonts w:hint="eastAsia" w:ascii="宋体" w:hAnsi="宋体" w:cs="宋体"/>
          <w:b/>
          <w:szCs w:val="21"/>
        </w:rPr>
        <w:t>15、谈判响应有效期</w:t>
      </w:r>
    </w:p>
    <w:p>
      <w:pPr>
        <w:widowControl/>
        <w:spacing w:line="500" w:lineRule="exact"/>
        <w:ind w:firstLine="420" w:firstLineChars="200"/>
        <w:jc w:val="left"/>
        <w:rPr>
          <w:rFonts w:ascii="宋体" w:hAnsi="宋体" w:cs="宋体"/>
          <w:szCs w:val="21"/>
        </w:rPr>
      </w:pPr>
      <w:r>
        <w:rPr>
          <w:rFonts w:hint="eastAsia" w:ascii="宋体" w:hAnsi="宋体" w:cs="宋体"/>
          <w:szCs w:val="21"/>
        </w:rPr>
        <w:t>15.1、谈判响应有效期见“谈判响应人须知前附表”的约定。</w:t>
      </w:r>
    </w:p>
    <w:p>
      <w:pPr>
        <w:widowControl/>
        <w:spacing w:line="500" w:lineRule="exact"/>
        <w:ind w:firstLine="420" w:firstLineChars="200"/>
        <w:jc w:val="left"/>
        <w:rPr>
          <w:rFonts w:ascii="宋体" w:hAnsi="宋体" w:cs="宋体"/>
          <w:szCs w:val="21"/>
        </w:rPr>
      </w:pPr>
      <w:r>
        <w:rPr>
          <w:rFonts w:hint="eastAsia" w:ascii="宋体" w:hAnsi="宋体" w:cs="宋体"/>
          <w:szCs w:val="21"/>
        </w:rPr>
        <w:t>15.2、在谈判响应有效期内，谈判响应人不得要求撤销或修改其谈判响应文件。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表、声明均应加盖谈判响应人公章并经法定代表人或委托代理人签字或加盖印章。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技术参数响应表、声明的签字或盖章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5"/>
        <w:numPr>
          <w:ilvl w:val="0"/>
          <w:numId w:val="2"/>
        </w:numPr>
        <w:ind w:firstLine="472" w:firstLineChars="196"/>
        <w:rPr>
          <w:rFonts w:hAnsi="宋体" w:cs="宋体"/>
        </w:rPr>
      </w:pPr>
      <w:bookmarkStart w:id="57" w:name="_Toc54939194"/>
      <w:bookmarkStart w:id="58" w:name="_Toc25319"/>
      <w:r>
        <w:rPr>
          <w:rFonts w:hint="eastAsia" w:hAnsi="宋体" w:cs="宋体"/>
        </w:rPr>
        <w:t>谈判响应文件的提交</w:t>
      </w:r>
      <w:bookmarkEnd w:id="57"/>
      <w:bookmarkEnd w:id="58"/>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17.3密封袋上应写明：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szCs w:val="21"/>
        </w:rPr>
      </w:pPr>
      <w:r>
        <w:rPr>
          <w:rFonts w:hint="eastAsia" w:ascii="宋体" w:hAnsi="宋体" w:cs="宋体"/>
          <w:b/>
          <w:szCs w:val="21"/>
        </w:rPr>
        <w:t>19、谈判响应文件的修改与撤回</w:t>
      </w:r>
    </w:p>
    <w:p>
      <w:pPr>
        <w:widowControl/>
        <w:spacing w:line="500" w:lineRule="exact"/>
        <w:ind w:firstLine="420" w:firstLineChars="200"/>
        <w:jc w:val="left"/>
        <w:rPr>
          <w:rFonts w:ascii="宋体" w:hAnsi="宋体" w:cs="宋体"/>
          <w:szCs w:val="21"/>
        </w:rPr>
      </w:pPr>
      <w:bookmarkStart w:id="59" w:name="_Toc23598"/>
      <w:bookmarkStart w:id="60" w:name="_Toc54939195"/>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5"/>
        <w:ind w:firstLine="472" w:firstLineChars="196"/>
        <w:rPr>
          <w:rFonts w:hAnsi="宋体" w:cs="宋体"/>
        </w:rPr>
      </w:pPr>
      <w:r>
        <w:rPr>
          <w:rFonts w:hint="eastAsia" w:hAnsi="宋体" w:cs="宋体"/>
        </w:rPr>
        <w:t>五、</w:t>
      </w:r>
      <w:bookmarkEnd w:id="59"/>
      <w:r>
        <w:rPr>
          <w:rFonts w:hint="eastAsia" w:hAnsi="宋体" w:cs="宋体"/>
        </w:rPr>
        <w:t>谈判程序</w:t>
      </w:r>
      <w:bookmarkEnd w:id="60"/>
    </w:p>
    <w:p>
      <w:pPr>
        <w:widowControl/>
        <w:spacing w:line="500" w:lineRule="exact"/>
        <w:ind w:firstLine="422" w:firstLineChars="200"/>
        <w:jc w:val="left"/>
        <w:rPr>
          <w:rFonts w:ascii="宋体" w:hAnsi="宋体" w:cs="宋体"/>
          <w:szCs w:val="21"/>
        </w:rPr>
      </w:pPr>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21.1.3、由采购人代表查验谈判响应人相关证件资料并宣布查验结果；</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21.1.4、由各谈判响应人互相检查谈判响应文件的密封情况，并确认谈判响应人是否存在异议； </w:t>
      </w:r>
    </w:p>
    <w:p>
      <w:pPr>
        <w:widowControl/>
        <w:spacing w:line="500" w:lineRule="exact"/>
        <w:ind w:firstLine="420" w:firstLineChars="200"/>
        <w:jc w:val="left"/>
        <w:rPr>
          <w:rFonts w:ascii="宋体" w:hAnsi="宋体" w:cs="宋体"/>
          <w:szCs w:val="21"/>
        </w:rPr>
      </w:pPr>
      <w:r>
        <w:rPr>
          <w:rFonts w:hint="eastAsia" w:ascii="宋体" w:hAnsi="宋体" w:cs="宋体"/>
          <w:szCs w:val="21"/>
        </w:rPr>
        <w:t>21.1.5现场开启响应文件；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21.1.6依次当众唱标，公布谈判响应人名称、谈判响应首轮报价及谈判响应函其他内容，并记录在案；　</w:t>
      </w:r>
    </w:p>
    <w:p>
      <w:pPr>
        <w:widowControl/>
        <w:spacing w:line="500" w:lineRule="exact"/>
        <w:ind w:firstLine="420" w:firstLineChars="200"/>
        <w:jc w:val="left"/>
        <w:rPr>
          <w:rFonts w:ascii="宋体" w:hAnsi="宋体" w:cs="宋体"/>
          <w:szCs w:val="21"/>
        </w:rPr>
      </w:pPr>
      <w:r>
        <w:rPr>
          <w:rFonts w:hint="eastAsia" w:ascii="宋体" w:hAnsi="宋体" w:cs="宋体"/>
          <w:szCs w:val="21"/>
        </w:rPr>
        <w:t>21.1.6谈判响应人代表、采购人代表、记录人等有关人员在开标记录表上签字确认；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21.1.7暂时休会，进入评审阶段；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21.1.8谈判小组与各个谈判响应人进行谈判；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21.1.9各个谈判响应人进行最终报价；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21.1.10 复会，宣布评审结果。</w:t>
      </w:r>
    </w:p>
    <w:p>
      <w:pPr>
        <w:widowControl/>
        <w:spacing w:line="500" w:lineRule="exact"/>
        <w:ind w:firstLine="420" w:firstLineChars="200"/>
        <w:jc w:val="left"/>
        <w:rPr>
          <w:rFonts w:ascii="宋体" w:hAnsi="宋体" w:cs="宋体"/>
          <w:szCs w:val="21"/>
        </w:rPr>
      </w:pPr>
      <w:r>
        <w:rPr>
          <w:rFonts w:hint="eastAsia" w:ascii="宋体" w:hAnsi="宋体" w:cs="宋体"/>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5"/>
        <w:spacing w:line="360" w:lineRule="auto"/>
        <w:ind w:firstLine="472" w:firstLineChars="196"/>
        <w:rPr>
          <w:rFonts w:hAnsi="宋体" w:cs="宋体"/>
        </w:rPr>
      </w:pPr>
      <w:bookmarkStart w:id="61" w:name="_Toc28310"/>
      <w:bookmarkStart w:id="62" w:name="_Toc54939196"/>
      <w:r>
        <w:rPr>
          <w:rFonts w:hint="eastAsia" w:hAnsi="宋体" w:cs="宋体"/>
        </w:rPr>
        <w:t>六、</w:t>
      </w:r>
      <w:bookmarkEnd w:id="61"/>
      <w:r>
        <w:rPr>
          <w:rFonts w:hint="eastAsia" w:hAnsi="宋体" w:cs="宋体"/>
        </w:rPr>
        <w:t>谈判</w:t>
      </w:r>
      <w:bookmarkEnd w:id="62"/>
    </w:p>
    <w:p>
      <w:pPr>
        <w:widowControl/>
        <w:spacing w:line="360" w:lineRule="auto"/>
        <w:jc w:val="left"/>
        <w:rPr>
          <w:rFonts w:ascii="宋体" w:hAnsi="宋体" w:cs="宋体"/>
          <w:szCs w:val="21"/>
        </w:rPr>
      </w:pPr>
      <w:r>
        <w:rPr>
          <w:rFonts w:hint="eastAsia" w:ascii="宋体" w:hAnsi="宋体" w:cs="宋体"/>
          <w:b/>
          <w:bCs/>
          <w:szCs w:val="21"/>
        </w:rPr>
        <w:t xml:space="preserve">    23、谈判小组</w:t>
      </w:r>
      <w:r>
        <w:rPr>
          <w:rFonts w:hint="eastAsia" w:ascii="宋体" w:hAnsi="宋体" w:cs="宋体"/>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szCs w:val="21"/>
        </w:rPr>
      </w:pPr>
      <w:r>
        <w:rPr>
          <w:rFonts w:hint="eastAsia" w:ascii="宋体" w:hAnsi="宋体" w:cs="宋体"/>
          <w:b/>
          <w:szCs w:val="21"/>
        </w:rPr>
        <w:t>24、评审方法：</w:t>
      </w:r>
      <w:r>
        <w:rPr>
          <w:rFonts w:hint="eastAsia" w:ascii="宋体" w:hAnsi="宋体" w:cs="宋体"/>
          <w:szCs w:val="21"/>
        </w:rPr>
        <w:t>本次谈判采用符合性评审的有效最低价评审方法。</w:t>
      </w:r>
    </w:p>
    <w:p>
      <w:pPr>
        <w:spacing w:line="360" w:lineRule="auto"/>
        <w:ind w:firstLine="422" w:firstLineChars="200"/>
        <w:rPr>
          <w:rFonts w:ascii="宋体" w:hAnsi="宋体" w:cs="宋体"/>
          <w:b/>
          <w:bCs/>
          <w:szCs w:val="21"/>
        </w:rPr>
      </w:pPr>
      <w:r>
        <w:rPr>
          <w:rFonts w:hint="eastAsia" w:ascii="宋体" w:hAnsi="宋体" w:cs="宋体"/>
          <w:b/>
          <w:bCs/>
          <w:szCs w:val="21"/>
        </w:rPr>
        <w:t>25、评审程序</w:t>
      </w:r>
      <w:r>
        <w:rPr>
          <w:rFonts w:hint="eastAsia" w:ascii="宋体" w:hAnsi="宋体" w:cs="宋体"/>
          <w:szCs w:val="21"/>
        </w:rPr>
        <w:t>：评审按照谈判响应文件符合性审查、报价评审、澄清有关问题、失信核查和确定成交候选人排序进行评审。</w:t>
      </w:r>
      <w:r>
        <w:rPr>
          <w:rFonts w:hint="eastAsia" w:ascii="宋体" w:hAnsi="宋体" w:cs="宋体"/>
          <w:b/>
          <w:bCs/>
          <w:szCs w:val="21"/>
        </w:rPr>
        <w:t>如有任一项未通过的则不进入下一项评审。</w:t>
      </w:r>
    </w:p>
    <w:p>
      <w:pPr>
        <w:widowControl/>
        <w:spacing w:line="360" w:lineRule="auto"/>
        <w:ind w:firstLine="420" w:firstLineChars="200"/>
        <w:jc w:val="left"/>
        <w:rPr>
          <w:rFonts w:ascii="宋体" w:hAnsi="宋体" w:cs="宋体"/>
          <w:szCs w:val="21"/>
        </w:rPr>
      </w:pPr>
      <w:r>
        <w:rPr>
          <w:rFonts w:hint="eastAsia" w:ascii="宋体" w:hAnsi="宋体" w:cs="宋体"/>
          <w:szCs w:val="21"/>
        </w:rPr>
        <w:t>25.1、谈判响应文件符合性审查，包括但不限于以下内容：</w:t>
      </w:r>
    </w:p>
    <w:p>
      <w:pPr>
        <w:widowControl/>
        <w:spacing w:line="360" w:lineRule="auto"/>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（1）谈判响应人资格是否符合竞争性谈判文件要求；</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（3）竞争性谈判文件要求提交的各种资格证明文件是否真实、完整、合法、有效；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（4）所提供的货物是否有缺少；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（9）谈判响应文件是否附有采购人不能接受的条件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（10）</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szCs w:val="21"/>
        </w:rPr>
      </w:pPr>
      <w:r>
        <w:rPr>
          <w:rFonts w:hint="eastAsia" w:ascii="宋体" w:hAnsi="宋体" w:cs="宋体"/>
          <w:szCs w:val="21"/>
        </w:rPr>
        <w:t>（11）谈判响应文件是否符合竞争性谈判文件的要求；</w:t>
      </w:r>
    </w:p>
    <w:p>
      <w:pPr>
        <w:widowControl/>
        <w:spacing w:line="500" w:lineRule="exact"/>
        <w:ind w:firstLine="420" w:firstLineChars="200"/>
        <w:jc w:val="left"/>
        <w:rPr>
          <w:rFonts w:ascii="宋体" w:hAnsi="宋体" w:cs="宋体"/>
          <w:b/>
          <w:szCs w:val="21"/>
        </w:rPr>
      </w:pPr>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7"/>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7"/>
          <w:rFonts w:hint="eastAsia"/>
          <w:color w:val="auto"/>
          <w:szCs w:val="21"/>
          <w:u w:val="none"/>
        </w:rPr>
        <w:t>不得将其推荐为成交候选人，依序递补，并再次对递补的谈判响应人进行核查。</w:t>
      </w:r>
      <w:r>
        <w:rPr>
          <w:rStyle w:val="27"/>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360" w:lineRule="auto"/>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360" w:lineRule="auto"/>
        <w:ind w:firstLine="42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417655921"/>
      <w:bookmarkStart w:id="64" w:name="_Toc15032"/>
      <w:bookmarkStart w:id="65" w:name="_Toc418517858"/>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w:t>
      </w:r>
      <w:r>
        <w:rPr>
          <w:rFonts w:hint="eastAsia" w:ascii="宋体" w:hAnsi="宋体"/>
          <w:szCs w:val="21"/>
        </w:rPr>
        <w:t>，完成缴费后请</w:t>
      </w:r>
      <w:r>
        <w:rPr>
          <w:rFonts w:ascii="宋体" w:hAnsi="宋体"/>
          <w:szCs w:val="21"/>
        </w:rPr>
        <w:t>在</w:t>
      </w:r>
      <w:r>
        <w:rPr>
          <w:rFonts w:hint="eastAsia" w:ascii="宋体" w:hAnsi="宋体"/>
          <w:szCs w:val="21"/>
        </w:rPr>
        <w:t>7</w:t>
      </w:r>
      <w:r>
        <w:rPr>
          <w:rFonts w:ascii="宋体" w:hAnsi="宋体"/>
          <w:szCs w:val="21"/>
        </w:rPr>
        <w:t>个工作日内前来开具增值税发票，逾期按普票开具，不再开具专票。</w:t>
      </w:r>
    </w:p>
    <w:p>
      <w:pPr>
        <w:widowControl/>
        <w:spacing w:line="360" w:lineRule="auto"/>
        <w:ind w:firstLine="405"/>
        <w:jc w:val="left"/>
        <w:rPr>
          <w:rFonts w:ascii="宋体" w:hAnsi="宋体" w:cs="宋体"/>
          <w:szCs w:val="21"/>
        </w:rPr>
      </w:pPr>
      <w:r>
        <w:rPr>
          <w:rFonts w:hint="eastAsia" w:ascii="宋体" w:hAnsi="宋体" w:cs="宋体"/>
          <w:szCs w:val="21"/>
        </w:rPr>
        <w:t>27.4.2、服务费按差额定率累进法计算。以成交价计算基数，按下表约定的货物标准的80%收取。</w:t>
      </w:r>
    </w:p>
    <w:tbl>
      <w:tblPr>
        <w:tblStyle w:val="2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w:pict>
                <v:line id="Line 2" o:spid="_x0000_s1026" o:spt="20" style="position:absolute;left:0pt;margin-left:-5.35pt;margin-top:1.05pt;height:38.85pt;width:143.95pt;z-index:251659264;mso-width-relative:page;mso-height-relative:page;" coordsize="21600,21600">
                  <v:path arrowok="t"/>
                  <v:fill focussize="0,0"/>
                  <v:stroke/>
                  <v:imagedata o:title=""/>
                  <o:lock v:ext="edit"/>
                </v:line>
              </w:pic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ind w:firstLine="421"/>
        <w:jc w:val="left"/>
        <w:rPr>
          <w:rFonts w:ascii="宋体" w:hAnsi="宋体" w:cs="宋体"/>
          <w:b/>
        </w:rPr>
      </w:pPr>
      <w:r>
        <w:rPr>
          <w:rFonts w:hint="eastAsia" w:ascii="宋体" w:hAnsi="宋体" w:cs="宋体"/>
          <w:b/>
        </w:rPr>
        <w:t xml:space="preserve">  </w:t>
      </w:r>
      <w:r>
        <w:rPr>
          <w:rFonts w:hint="eastAsia" w:ascii="宋体" w:hAnsi="宋体" w:cs="宋体"/>
          <w:szCs w:val="21"/>
        </w:rPr>
        <w:t>注：按上述收费标准计算不足1500元的，按1500元计费。</w:t>
      </w:r>
    </w:p>
    <w:p>
      <w:pPr>
        <w:widowControl/>
        <w:spacing w:line="500" w:lineRule="exact"/>
        <w:ind w:firstLine="420" w:firstLineChars="200"/>
        <w:jc w:val="left"/>
        <w:rPr>
          <w:rFonts w:ascii="宋体" w:hAnsi="宋体" w:cs="宋体"/>
          <w:szCs w:val="21"/>
        </w:rPr>
      </w:pPr>
      <w:r>
        <w:rPr>
          <w:rFonts w:hint="eastAsia" w:ascii="宋体" w:hAnsi="宋体" w:cs="宋体"/>
          <w:szCs w:val="21"/>
        </w:rPr>
        <w:t>27.5、成交通知书</w:t>
      </w:r>
      <w:bookmarkEnd w:id="63"/>
      <w:bookmarkEnd w:id="64"/>
      <w:bookmarkEnd w:id="65"/>
    </w:p>
    <w:p>
      <w:pPr>
        <w:widowControl/>
        <w:spacing w:line="500" w:lineRule="exact"/>
        <w:ind w:firstLine="420"/>
        <w:jc w:val="left"/>
        <w:rPr>
          <w:rFonts w:ascii="宋体" w:hAnsi="宋体" w:cs="宋体"/>
          <w:szCs w:val="21"/>
        </w:rPr>
      </w:pPr>
      <w:r>
        <w:rPr>
          <w:rFonts w:hint="eastAsia" w:ascii="宋体" w:hAnsi="宋体" w:cs="宋体"/>
          <w:szCs w:val="21"/>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p>
    <w:p>
      <w:pPr>
        <w:widowControl/>
        <w:spacing w:line="360" w:lineRule="auto"/>
        <w:ind w:firstLine="420" w:firstLineChars="200"/>
        <w:jc w:val="left"/>
        <w:rPr>
          <w:rFonts w:ascii="宋体" w:hAnsi="宋体" w:cs="宋体"/>
          <w:szCs w:val="21"/>
        </w:rPr>
      </w:pPr>
      <w:r>
        <w:rPr>
          <w:rFonts w:hint="eastAsia" w:ascii="宋体" w:hAnsi="宋体" w:cs="宋体"/>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szCs w:val="21"/>
        </w:rPr>
      </w:pPr>
      <w:bookmarkStart w:id="66" w:name="_Toc418517857"/>
      <w:bookmarkStart w:id="67" w:name="_Toc2342"/>
      <w:bookmarkStart w:id="68" w:name="_Toc417655920"/>
      <w:r>
        <w:rPr>
          <w:rFonts w:hint="eastAsia" w:ascii="宋体" w:hAnsi="宋体" w:cs="宋体"/>
          <w:b/>
          <w:bCs/>
          <w:szCs w:val="20"/>
        </w:rPr>
        <w:t xml:space="preserve">   </w:t>
      </w:r>
      <w:r>
        <w:rPr>
          <w:rFonts w:hint="eastAsia" w:ascii="宋体" w:hAnsi="宋体" w:cs="宋体"/>
          <w:szCs w:val="21"/>
        </w:rPr>
        <w:t xml:space="preserve"> 27.</w:t>
      </w:r>
      <w:bookmarkEnd w:id="66"/>
      <w:bookmarkEnd w:id="67"/>
      <w:bookmarkEnd w:id="68"/>
      <w:r>
        <w:rPr>
          <w:rFonts w:hint="eastAsia" w:ascii="宋体" w:hAnsi="宋体" w:cs="宋体"/>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bookmarkStart w:id="69" w:name="_Toc23509"/>
      <w:r>
        <w:rPr>
          <w:rFonts w:hint="eastAsia" w:ascii="宋体" w:hAnsi="宋体" w:cs="宋体"/>
          <w:b/>
          <w:bCs/>
          <w:szCs w:val="21"/>
        </w:rPr>
        <w:t xml:space="preserve">    </w:t>
      </w:r>
      <w:bookmarkStart w:id="70" w:name="_Toc54939197"/>
      <w:r>
        <w:rPr>
          <w:rFonts w:hint="eastAsia" w:ascii="宋体" w:hAnsi="宋体" w:cs="宋体"/>
          <w:b/>
          <w:bCs/>
          <w:szCs w:val="21"/>
        </w:rPr>
        <w:t>七、合同授予</w:t>
      </w:r>
      <w:bookmarkEnd w:id="69"/>
      <w:bookmarkEnd w:id="70"/>
    </w:p>
    <w:p>
      <w:pPr>
        <w:widowControl/>
        <w:spacing w:line="500" w:lineRule="exact"/>
        <w:jc w:val="left"/>
        <w:rPr>
          <w:rFonts w:ascii="宋体" w:hAnsi="宋体" w:cs="宋体"/>
          <w:szCs w:val="21"/>
        </w:rPr>
      </w:pPr>
      <w:r>
        <w:rPr>
          <w:rFonts w:hint="eastAsia" w:ascii="宋体" w:hAnsi="宋体" w:cs="宋体"/>
          <w:szCs w:val="21"/>
        </w:rPr>
        <w:t xml:space="preserve">    28、</w:t>
      </w:r>
      <w:bookmarkStart w:id="71" w:name="_Toc21358"/>
      <w:bookmarkStart w:id="72" w:name="_Toc417655923"/>
      <w:bookmarkStart w:id="73" w:name="_Toc418517860"/>
      <w:r>
        <w:rPr>
          <w:rFonts w:hint="eastAsia" w:ascii="宋体" w:hAnsi="宋体" w:cs="宋体"/>
          <w:szCs w:val="21"/>
        </w:rPr>
        <w:t>签订合同</w:t>
      </w:r>
      <w:bookmarkEnd w:id="71"/>
      <w:bookmarkEnd w:id="72"/>
      <w:bookmarkEnd w:id="73"/>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28.2、成交人在收到成交通知书起10工作日内，与采购人签订合同。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pStyle w:val="2"/>
        <w:rPr>
          <w:rFonts w:ascii="宋体" w:hAnsi="宋体" w:cs="宋体"/>
          <w:color w:val="0000FF"/>
          <w:szCs w:val="21"/>
        </w:rPr>
      </w:pPr>
      <w:bookmarkStart w:id="74" w:name="_Toc18076"/>
      <w:bookmarkStart w:id="75" w:name="_Toc54939198"/>
      <w:r>
        <w:rPr>
          <w:rFonts w:hint="eastAsia" w:ascii="宋体" w:hAnsi="宋体" w:cs="宋体"/>
        </w:rPr>
        <w:t xml:space="preserve">第三章 </w:t>
      </w:r>
      <w:bookmarkEnd w:id="74"/>
      <w:bookmarkEnd w:id="75"/>
      <w:r>
        <w:rPr>
          <w:rFonts w:hint="eastAsia" w:ascii="宋体" w:hAnsi="宋体" w:cs="宋体"/>
          <w:color w:val="000000"/>
        </w:rPr>
        <w:t>货物需求及技术要求</w:t>
      </w:r>
    </w:p>
    <w:p>
      <w:pPr>
        <w:pStyle w:val="5"/>
        <w:ind w:firstLine="472" w:firstLineChars="196"/>
        <w:rPr>
          <w:rFonts w:hAnsi="宋体" w:cs="宋体"/>
          <w:bCs/>
          <w:color w:val="000000"/>
          <w:szCs w:val="24"/>
        </w:rPr>
      </w:pPr>
      <w:bookmarkStart w:id="76" w:name="_Toc54938481"/>
      <w:r>
        <w:rPr>
          <w:rFonts w:hint="eastAsia" w:hAnsi="宋体" w:cs="宋体"/>
          <w:color w:val="000000"/>
        </w:rPr>
        <w:t>一、</w:t>
      </w:r>
      <w:r>
        <w:rPr>
          <w:rFonts w:hint="eastAsia" w:hAnsi="宋体" w:cs="宋体"/>
          <w:bCs/>
          <w:color w:val="000000"/>
          <w:szCs w:val="24"/>
        </w:rPr>
        <w:t>货物需求一览表</w:t>
      </w:r>
      <w:bookmarkEnd w:id="76"/>
    </w:p>
    <w:tbl>
      <w:tblPr>
        <w:tblStyle w:val="21"/>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5"/>
        <w:gridCol w:w="6300"/>
        <w:gridCol w:w="660"/>
        <w:gridCol w:w="69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货物名称</w:t>
            </w:r>
          </w:p>
        </w:tc>
        <w:tc>
          <w:tcPr>
            <w:tcW w:w="630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技术参数</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415" w:type="dxa"/>
            <w:gridSpan w:val="6"/>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cs="宋体"/>
                <w:color w:val="000000"/>
                <w:kern w:val="0"/>
                <w:szCs w:val="21"/>
              </w:rPr>
            </w:pPr>
            <w:r>
              <w:rPr>
                <w:rFonts w:hint="eastAsia" w:ascii="宋体" w:hAnsi="宋体" w:cs="宋体"/>
                <w:b/>
                <w:bCs/>
                <w:color w:val="000000" w:themeColor="text1"/>
                <w:kern w:val="0"/>
                <w:szCs w:val="21"/>
              </w:rPr>
              <w:t>一、项目研发工作室硬件设备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000000"/>
                <w:kern w:val="0"/>
                <w:szCs w:val="21"/>
              </w:rPr>
            </w:pPr>
            <w:r>
              <w:rPr>
                <w:rFonts w:hint="eastAsia" w:ascii="宋体" w:hAnsi="宋体" w:cs="宋体"/>
                <w:color w:val="000000"/>
                <w:kern w:val="0"/>
                <w:szCs w:val="21"/>
              </w:rPr>
              <w:t>研发测试服务器</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
                <w:szCs w:val="21"/>
              </w:rPr>
            </w:pPr>
            <w:r>
              <w:rPr>
                <w:rFonts w:hint="eastAsia" w:ascii="宋体" w:hAnsi="宋体" w:cs="宋体"/>
                <w:szCs w:val="21"/>
              </w:rPr>
              <w:t>1、品牌：国产品牌，2U机架式服务器。</w:t>
            </w:r>
            <w:r>
              <w:rPr>
                <w:rFonts w:hint="eastAsia" w:ascii="宋体" w:hAnsi="宋体" w:cs="宋体"/>
                <w:szCs w:val="21"/>
              </w:rPr>
              <w:cr/>
            </w:r>
            <w:r>
              <w:rPr>
                <w:rFonts w:hint="eastAsia" w:ascii="宋体" w:hAnsi="宋体" w:cs="宋体"/>
                <w:szCs w:val="21"/>
              </w:rPr>
              <w:t>2、处理器：配置1颗Intel Xeon 3106 CPU。</w:t>
            </w:r>
            <w:r>
              <w:rPr>
                <w:rFonts w:hint="eastAsia" w:ascii="宋体" w:hAnsi="宋体" w:cs="宋体"/>
                <w:szCs w:val="21"/>
              </w:rPr>
              <w:cr/>
            </w:r>
            <w:r>
              <w:rPr>
                <w:rFonts w:hint="eastAsia" w:ascii="宋体" w:hAnsi="宋体" w:cs="宋体"/>
                <w:szCs w:val="21"/>
              </w:rPr>
              <w:t>3、内存：配置16G DDR4 2933内存。</w:t>
            </w:r>
            <w:r>
              <w:rPr>
                <w:rFonts w:hint="eastAsia" w:ascii="宋体" w:hAnsi="宋体" w:cs="宋体"/>
                <w:szCs w:val="21"/>
              </w:rPr>
              <w:cr/>
            </w:r>
            <w:r>
              <w:rPr>
                <w:rFonts w:hint="eastAsia" w:ascii="宋体" w:hAnsi="宋体" w:cs="宋体"/>
                <w:szCs w:val="21"/>
              </w:rPr>
              <w:t>4、硬盘：配置2块1T SATA硬盘，</w:t>
            </w:r>
            <w:r>
              <w:rPr>
                <w:rFonts w:hint="eastAsia" w:ascii="宋体" w:hAnsi="宋体" w:cs="宋体"/>
                <w:szCs w:val="21"/>
              </w:rPr>
              <w:cr/>
            </w:r>
            <w:r>
              <w:rPr>
                <w:rFonts w:hint="eastAsia" w:ascii="宋体" w:hAnsi="宋体" w:cs="宋体"/>
                <w:szCs w:val="21"/>
              </w:rPr>
              <w:t>5、SAS卡：8口SAS卡，支持raid0、1</w:t>
            </w:r>
            <w:r>
              <w:rPr>
                <w:rFonts w:hint="eastAsia" w:ascii="宋体" w:hAnsi="宋体" w:cs="宋体"/>
                <w:szCs w:val="21"/>
              </w:rPr>
              <w:cr/>
            </w:r>
            <w:r>
              <w:rPr>
                <w:rFonts w:hint="eastAsia" w:ascii="宋体" w:hAnsi="宋体" w:cs="宋体"/>
                <w:szCs w:val="21"/>
              </w:rPr>
              <w:t>6、管理：提供原厂服务器批量管理软件，支持批量信息查看、BIOS /BMC固件更新、RAID配置、远程控制、远程修改BIOS选项、日志收集等功能，提供上述功能截图证明，</w:t>
            </w:r>
            <w:r>
              <w:rPr>
                <w:rFonts w:hint="eastAsia" w:ascii="宋体" w:hAnsi="宋体" w:cs="宋体"/>
                <w:b/>
                <w:szCs w:val="21"/>
              </w:rPr>
              <w:t>提供该软件著作权登记证书</w:t>
            </w:r>
            <w:r>
              <w:rPr>
                <w:rFonts w:hint="eastAsia" w:ascii="宋体" w:hAnsi="宋体" w:cs="宋体"/>
                <w:szCs w:val="21"/>
              </w:rPr>
              <w:t>。</w:t>
            </w:r>
            <w:r>
              <w:rPr>
                <w:rFonts w:hint="eastAsia" w:ascii="宋体" w:hAnsi="宋体" w:cs="宋体"/>
                <w:szCs w:val="21"/>
              </w:rPr>
              <w:cr/>
            </w:r>
            <w:r>
              <w:rPr>
                <w:rFonts w:hint="eastAsia" w:ascii="宋体" w:hAnsi="宋体" w:cs="宋体"/>
                <w:szCs w:val="21"/>
              </w:rPr>
              <w:t>7、服务器集群管理系统：提供服务器品牌原厂综合集群管理系统，提供整个集群系统的进程调度、内存管理、系统通信管理、集群状态实时诊断等功能，支持10000+节点的智能监控与调度。</w:t>
            </w:r>
            <w:r>
              <w:rPr>
                <w:rFonts w:hint="eastAsia" w:ascii="宋体" w:hAnsi="宋体" w:cs="宋体"/>
                <w:b/>
                <w:szCs w:val="21"/>
              </w:rPr>
              <w:t>提供该系统软件著作权登记证书。</w:t>
            </w:r>
          </w:p>
          <w:p>
            <w:pPr>
              <w:spacing w:line="312" w:lineRule="auto"/>
              <w:rPr>
                <w:rFonts w:ascii="宋体" w:hAnsi="宋体" w:cs="宋体"/>
                <w:szCs w:val="21"/>
              </w:rPr>
            </w:pPr>
            <w:r>
              <w:rPr>
                <w:rFonts w:hint="eastAsia" w:ascii="宋体" w:hAnsi="宋体" w:cs="宋体"/>
                <w:szCs w:val="21"/>
              </w:rPr>
              <w:t>8、其他：≥23.8寸的品牌显示器、键盘、鼠标；</w:t>
            </w:r>
          </w:p>
          <w:p>
            <w:pPr>
              <w:spacing w:line="312" w:lineRule="auto"/>
              <w:rPr>
                <w:rFonts w:ascii="宋体" w:hAnsi="宋体" w:cs="宋体"/>
                <w:b/>
                <w:szCs w:val="21"/>
                <w:highlight w:val="yellow"/>
              </w:rPr>
            </w:pPr>
            <w:r>
              <w:rPr>
                <w:rFonts w:hint="eastAsia" w:ascii="宋体" w:hAnsi="宋体" w:cs="宋体"/>
                <w:b/>
                <w:bCs/>
                <w:szCs w:val="21"/>
              </w:rPr>
              <w:t>9、响应文件中供应商提供3年原厂商技术支持承诺和整机三年原厂免费售后服务承诺。</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系统开发笔记本</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1、轻薄笔记本</w:t>
            </w:r>
          </w:p>
          <w:p>
            <w:pPr>
              <w:spacing w:line="312" w:lineRule="auto"/>
              <w:rPr>
                <w:rFonts w:ascii="宋体" w:hAnsi="宋体" w:cs="宋体"/>
                <w:szCs w:val="21"/>
              </w:rPr>
            </w:pPr>
            <w:r>
              <w:rPr>
                <w:rFonts w:hint="eastAsia" w:ascii="宋体" w:hAnsi="宋体" w:cs="宋体"/>
                <w:szCs w:val="21"/>
              </w:rPr>
              <w:t>2、CPU：I7 10代，六核12线程，频率≥2.60 GHz；</w:t>
            </w:r>
          </w:p>
          <w:p>
            <w:pPr>
              <w:spacing w:line="312" w:lineRule="auto"/>
              <w:rPr>
                <w:rFonts w:ascii="宋体" w:hAnsi="宋体" w:cs="宋体"/>
                <w:szCs w:val="21"/>
              </w:rPr>
            </w:pPr>
            <w:r>
              <w:rPr>
                <w:rFonts w:hint="eastAsia" w:ascii="宋体" w:hAnsi="宋体" w:cs="宋体"/>
                <w:szCs w:val="21"/>
              </w:rPr>
              <w:t>3、内存：≥16G，DDR4，内存频率≥2933，最大支持容量：64GB；</w:t>
            </w:r>
          </w:p>
          <w:p>
            <w:pPr>
              <w:spacing w:line="312" w:lineRule="auto"/>
              <w:rPr>
                <w:rFonts w:ascii="宋体" w:hAnsi="宋体" w:cs="宋体"/>
                <w:szCs w:val="21"/>
              </w:rPr>
            </w:pPr>
            <w:r>
              <w:rPr>
                <w:rFonts w:hint="eastAsia" w:ascii="宋体" w:hAnsi="宋体" w:cs="宋体"/>
                <w:szCs w:val="21"/>
              </w:rPr>
              <w:t>4、固态硬盘（SSD）：512GB；</w:t>
            </w:r>
          </w:p>
          <w:p>
            <w:pPr>
              <w:spacing w:line="312" w:lineRule="auto"/>
              <w:rPr>
                <w:rFonts w:ascii="宋体" w:hAnsi="宋体" w:cs="宋体"/>
                <w:szCs w:val="21"/>
              </w:rPr>
            </w:pPr>
            <w:r>
              <w:rPr>
                <w:rFonts w:hint="eastAsia" w:ascii="宋体" w:hAnsi="宋体" w:cs="宋体"/>
                <w:szCs w:val="21"/>
              </w:rPr>
              <w:t>5、独立显卡：显存容量≥4GB，GDDR6；</w:t>
            </w:r>
          </w:p>
          <w:p>
            <w:pPr>
              <w:spacing w:line="312" w:lineRule="auto"/>
              <w:rPr>
                <w:rFonts w:ascii="宋体" w:hAnsi="宋体" w:cs="宋体"/>
                <w:szCs w:val="21"/>
              </w:rPr>
            </w:pPr>
            <w:r>
              <w:rPr>
                <w:rFonts w:hint="eastAsia" w:ascii="宋体" w:hAnsi="宋体" w:cs="宋体"/>
                <w:szCs w:val="21"/>
              </w:rPr>
              <w:t>6、电池容量（Wh）≥85Wh，电池芯数：6芯 锂离子电池；</w:t>
            </w:r>
          </w:p>
          <w:p>
            <w:pPr>
              <w:spacing w:line="312" w:lineRule="auto"/>
              <w:rPr>
                <w:rFonts w:ascii="宋体" w:hAnsi="宋体" w:cs="宋体"/>
                <w:szCs w:val="21"/>
              </w:rPr>
            </w:pPr>
            <w:r>
              <w:rPr>
                <w:rFonts w:hint="eastAsia" w:ascii="宋体" w:hAnsi="宋体" w:cs="宋体"/>
                <w:szCs w:val="21"/>
              </w:rPr>
              <w:t>7、屏幕：IPS屏，尺寸≥15.6英寸，超高清屏（2K/2.5K/3K/4K）</w:t>
            </w:r>
          </w:p>
          <w:p>
            <w:pPr>
              <w:spacing w:line="312" w:lineRule="auto"/>
              <w:rPr>
                <w:rFonts w:ascii="宋体" w:hAnsi="宋体" w:cs="宋体"/>
                <w:szCs w:val="21"/>
              </w:rPr>
            </w:pPr>
            <w:r>
              <w:rPr>
                <w:rFonts w:hint="eastAsia" w:ascii="宋体" w:hAnsi="宋体" w:cs="宋体"/>
                <w:szCs w:val="21"/>
              </w:rPr>
              <w:t>8、内置麦克风、摄像头和触控屏，指纹识别、电源适配器</w:t>
            </w:r>
          </w:p>
          <w:p>
            <w:pPr>
              <w:spacing w:line="312" w:lineRule="auto"/>
              <w:rPr>
                <w:rFonts w:ascii="宋体" w:hAnsi="宋体" w:cs="宋体"/>
                <w:color w:val="000000"/>
                <w:kern w:val="0"/>
                <w:szCs w:val="21"/>
              </w:rPr>
            </w:pPr>
            <w:r>
              <w:rPr>
                <w:rFonts w:hint="eastAsia" w:ascii="宋体" w:hAnsi="宋体" w:cs="宋体"/>
                <w:szCs w:val="21"/>
              </w:rPr>
              <w:t>9、两年质保</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系统平台适应性测试移动终端1</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1、平板系统：ios系统；</w:t>
            </w:r>
          </w:p>
          <w:p>
            <w:pPr>
              <w:spacing w:line="312" w:lineRule="auto"/>
              <w:rPr>
                <w:rFonts w:ascii="宋体" w:hAnsi="宋体" w:cs="宋体"/>
                <w:szCs w:val="21"/>
              </w:rPr>
            </w:pPr>
            <w:r>
              <w:rPr>
                <w:rFonts w:hint="eastAsia" w:ascii="宋体" w:hAnsi="宋体" w:cs="宋体"/>
                <w:szCs w:val="21"/>
              </w:rPr>
              <w:t>2、CPU核心数：八核；</w:t>
            </w:r>
          </w:p>
          <w:p>
            <w:pPr>
              <w:spacing w:line="312" w:lineRule="auto"/>
              <w:rPr>
                <w:rFonts w:ascii="宋体" w:hAnsi="宋体" w:cs="宋体"/>
                <w:szCs w:val="21"/>
              </w:rPr>
            </w:pPr>
            <w:r>
              <w:rPr>
                <w:rFonts w:hint="eastAsia" w:ascii="宋体" w:hAnsi="宋体" w:cs="宋体"/>
                <w:szCs w:val="21"/>
              </w:rPr>
              <w:t>3、内存容量：256GB；</w:t>
            </w:r>
          </w:p>
          <w:p>
            <w:pPr>
              <w:spacing w:line="312" w:lineRule="auto"/>
              <w:rPr>
                <w:rFonts w:ascii="宋体" w:hAnsi="宋体" w:cs="宋体"/>
                <w:szCs w:val="21"/>
              </w:rPr>
            </w:pPr>
            <w:r>
              <w:rPr>
                <w:rFonts w:hint="eastAsia" w:ascii="宋体" w:hAnsi="宋体" w:cs="宋体"/>
                <w:szCs w:val="21"/>
              </w:rPr>
              <w:t>4、分辨率：2388*1668dpi；</w:t>
            </w:r>
          </w:p>
          <w:p>
            <w:pPr>
              <w:spacing w:line="312" w:lineRule="auto"/>
              <w:rPr>
                <w:rFonts w:ascii="宋体" w:hAnsi="宋体" w:cs="宋体"/>
                <w:szCs w:val="21"/>
              </w:rPr>
            </w:pPr>
            <w:r>
              <w:rPr>
                <w:rFonts w:hint="eastAsia" w:ascii="宋体" w:hAnsi="宋体" w:cs="宋体"/>
                <w:szCs w:val="21"/>
              </w:rPr>
              <w:t>5、屏幕尺寸：11英寸；</w:t>
            </w:r>
          </w:p>
          <w:p>
            <w:pPr>
              <w:spacing w:line="312" w:lineRule="auto"/>
              <w:rPr>
                <w:rFonts w:ascii="宋体" w:hAnsi="宋体" w:cs="宋体"/>
                <w:szCs w:val="21"/>
              </w:rPr>
            </w:pPr>
            <w:r>
              <w:rPr>
                <w:rFonts w:hint="eastAsia" w:ascii="宋体" w:hAnsi="宋体" w:cs="宋体"/>
                <w:szCs w:val="21"/>
              </w:rPr>
              <w:t>6、厚度：7.0mm以下；</w:t>
            </w:r>
          </w:p>
          <w:p>
            <w:pPr>
              <w:spacing w:line="312" w:lineRule="auto"/>
              <w:rPr>
                <w:rFonts w:ascii="宋体" w:hAnsi="宋体" w:cs="宋体"/>
                <w:szCs w:val="21"/>
              </w:rPr>
            </w:pPr>
            <w:r>
              <w:rPr>
                <w:rFonts w:hint="eastAsia" w:ascii="宋体" w:hAnsi="宋体" w:cs="宋体"/>
                <w:szCs w:val="21"/>
              </w:rPr>
              <w:t>7、网络连接：WiFi版；</w:t>
            </w:r>
          </w:p>
          <w:p>
            <w:pPr>
              <w:spacing w:line="312" w:lineRule="auto"/>
              <w:rPr>
                <w:rFonts w:ascii="宋体" w:hAnsi="宋体" w:cs="宋体"/>
                <w:szCs w:val="21"/>
              </w:rPr>
            </w:pPr>
            <w:r>
              <w:rPr>
                <w:rFonts w:hint="eastAsia" w:ascii="宋体" w:hAnsi="宋体" w:cs="宋体"/>
                <w:szCs w:val="21"/>
              </w:rPr>
              <w:t>8、USB接口：Type-C；</w:t>
            </w:r>
          </w:p>
          <w:p>
            <w:pPr>
              <w:spacing w:line="312" w:lineRule="auto"/>
              <w:rPr>
                <w:rFonts w:ascii="宋体" w:hAnsi="宋体" w:cs="宋体"/>
                <w:szCs w:val="21"/>
              </w:rPr>
            </w:pPr>
            <w:r>
              <w:rPr>
                <w:rFonts w:hint="eastAsia" w:ascii="宋体" w:hAnsi="宋体" w:cs="宋体"/>
                <w:szCs w:val="21"/>
              </w:rPr>
              <w:t>9、支持专用键盘，灰色；</w:t>
            </w:r>
          </w:p>
          <w:p>
            <w:pPr>
              <w:spacing w:line="312" w:lineRule="auto"/>
              <w:rPr>
                <w:rFonts w:ascii="宋体" w:hAnsi="宋体" w:cs="宋体"/>
                <w:szCs w:val="21"/>
              </w:rPr>
            </w:pPr>
            <w:r>
              <w:rPr>
                <w:rFonts w:hint="eastAsia" w:ascii="宋体" w:hAnsi="宋体" w:cs="宋体"/>
                <w:szCs w:val="21"/>
              </w:rPr>
              <w:t>10、产品净重（kg）≤0.46kg；</w:t>
            </w:r>
          </w:p>
          <w:p>
            <w:pPr>
              <w:spacing w:line="312" w:lineRule="auto"/>
              <w:rPr>
                <w:rFonts w:ascii="宋体" w:hAnsi="宋体" w:cs="宋体"/>
                <w:szCs w:val="21"/>
              </w:rPr>
            </w:pPr>
            <w:r>
              <w:rPr>
                <w:rFonts w:hint="eastAsia" w:ascii="宋体" w:hAnsi="宋体" w:cs="宋体"/>
                <w:szCs w:val="21"/>
              </w:rPr>
              <w:t>11、显示芯片：Apple M1 芯片；</w:t>
            </w:r>
          </w:p>
          <w:p>
            <w:pPr>
              <w:spacing w:line="312" w:lineRule="auto"/>
              <w:rPr>
                <w:rFonts w:ascii="宋体" w:hAnsi="宋体" w:cs="宋体"/>
                <w:szCs w:val="21"/>
              </w:rPr>
            </w:pPr>
            <w:r>
              <w:rPr>
                <w:rFonts w:hint="eastAsia" w:ascii="宋体" w:hAnsi="宋体" w:cs="宋体"/>
                <w:szCs w:val="21"/>
              </w:rPr>
              <w:t>12、Liquid 视网膜显示屏，4个扬声器，5个麦克风；</w:t>
            </w:r>
          </w:p>
          <w:p>
            <w:pPr>
              <w:spacing w:line="312" w:lineRule="auto"/>
              <w:rPr>
                <w:rFonts w:ascii="宋体" w:hAnsi="宋体" w:cs="宋体"/>
                <w:szCs w:val="21"/>
              </w:rPr>
            </w:pPr>
            <w:r>
              <w:rPr>
                <w:rFonts w:hint="eastAsia" w:ascii="宋体" w:hAnsi="宋体" w:cs="宋体"/>
                <w:szCs w:val="21"/>
              </w:rPr>
              <w:t>13、与所投的系统平台适应性测试移动终端1相配套的妙控键盘，中文、黑色(拼音)，1个；</w:t>
            </w:r>
          </w:p>
          <w:p>
            <w:pPr>
              <w:spacing w:line="312" w:lineRule="auto"/>
              <w:rPr>
                <w:rFonts w:ascii="宋体" w:hAnsi="宋体" w:cs="宋体"/>
                <w:kern w:val="0"/>
                <w:szCs w:val="21"/>
              </w:rPr>
            </w:pPr>
            <w:r>
              <w:rPr>
                <w:rFonts w:hint="eastAsia" w:ascii="宋体" w:hAnsi="宋体" w:cs="宋体"/>
                <w:szCs w:val="21"/>
              </w:rPr>
              <w:t>14、与所投的系统平台适应性测试移动终端1相配套的智能触控电容笔，1只。</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系统平台适应性测试移动终端2</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1、运行内存：8GB</w:t>
            </w:r>
          </w:p>
          <w:p>
            <w:pPr>
              <w:spacing w:line="312" w:lineRule="auto"/>
              <w:rPr>
                <w:rFonts w:ascii="宋体" w:hAnsi="宋体" w:cs="宋体"/>
                <w:szCs w:val="21"/>
              </w:rPr>
            </w:pPr>
            <w:r>
              <w:rPr>
                <w:rFonts w:hint="eastAsia" w:ascii="宋体" w:hAnsi="宋体" w:cs="宋体"/>
                <w:szCs w:val="21"/>
              </w:rPr>
              <w:t>2、机身存储：256GB</w:t>
            </w:r>
          </w:p>
          <w:p>
            <w:pPr>
              <w:spacing w:line="312" w:lineRule="auto"/>
              <w:rPr>
                <w:rFonts w:hint="eastAsia" w:ascii="宋体" w:hAnsi="宋体" w:eastAsia="宋体" w:cs="宋体"/>
                <w:szCs w:val="21"/>
                <w:lang w:eastAsia="zh-CN"/>
              </w:rPr>
            </w:pPr>
            <w:r>
              <w:rPr>
                <w:rFonts w:hint="eastAsia" w:ascii="宋体" w:hAnsi="宋体" w:cs="宋体"/>
                <w:szCs w:val="21"/>
              </w:rPr>
              <w:t>3、摄像头数量：</w:t>
            </w:r>
            <w:r>
              <w:rPr>
                <w:rFonts w:hint="eastAsia" w:ascii="宋体" w:hAnsi="宋体" w:cs="宋体"/>
                <w:szCs w:val="21"/>
                <w:lang w:val="en-US" w:eastAsia="zh-CN"/>
              </w:rPr>
              <w:t>三摄（</w:t>
            </w:r>
            <w:r>
              <w:rPr>
                <w:rFonts w:hint="eastAsia" w:ascii="宋体" w:hAnsi="宋体" w:cs="宋体"/>
                <w:szCs w:val="21"/>
              </w:rPr>
              <w:t>后置双摄</w:t>
            </w:r>
            <w:r>
              <w:rPr>
                <w:rFonts w:hint="eastAsia" w:ascii="宋体" w:hAnsi="宋体" w:cs="宋体"/>
                <w:szCs w:val="21"/>
                <w:lang w:eastAsia="zh-CN"/>
              </w:rPr>
              <w:t>）</w:t>
            </w:r>
          </w:p>
          <w:p>
            <w:pPr>
              <w:spacing w:line="312" w:lineRule="auto"/>
              <w:rPr>
                <w:rFonts w:ascii="宋体" w:hAnsi="宋体" w:cs="宋体"/>
                <w:szCs w:val="21"/>
              </w:rPr>
            </w:pPr>
            <w:r>
              <w:rPr>
                <w:rFonts w:hint="eastAsia" w:ascii="宋体" w:hAnsi="宋体" w:cs="宋体"/>
                <w:szCs w:val="21"/>
              </w:rPr>
              <w:t>4、后摄主摄像素：4800万像素</w:t>
            </w:r>
          </w:p>
          <w:p>
            <w:pPr>
              <w:spacing w:line="312" w:lineRule="auto"/>
              <w:rPr>
                <w:rFonts w:ascii="宋体" w:hAnsi="宋体" w:cs="宋体"/>
                <w:szCs w:val="21"/>
              </w:rPr>
            </w:pPr>
            <w:r>
              <w:rPr>
                <w:rFonts w:hint="eastAsia" w:ascii="宋体" w:hAnsi="宋体" w:cs="宋体"/>
                <w:szCs w:val="21"/>
              </w:rPr>
              <w:t>5、前摄主摄像素：800万像素</w:t>
            </w:r>
          </w:p>
          <w:p>
            <w:pPr>
              <w:spacing w:line="312" w:lineRule="auto"/>
              <w:rPr>
                <w:rFonts w:ascii="宋体" w:hAnsi="宋体" w:cs="宋体"/>
                <w:szCs w:val="21"/>
              </w:rPr>
            </w:pPr>
            <w:r>
              <w:rPr>
                <w:rFonts w:hint="eastAsia" w:ascii="宋体" w:hAnsi="宋体" w:cs="宋体"/>
                <w:szCs w:val="21"/>
              </w:rPr>
              <w:t>6、主屏幕尺寸（英寸）：6.58英寸</w:t>
            </w:r>
          </w:p>
          <w:p>
            <w:pPr>
              <w:spacing w:line="312" w:lineRule="auto"/>
              <w:rPr>
                <w:rFonts w:ascii="宋体" w:hAnsi="宋体" w:cs="宋体"/>
                <w:szCs w:val="21"/>
              </w:rPr>
            </w:pPr>
            <w:r>
              <w:rPr>
                <w:rFonts w:hint="eastAsia" w:ascii="宋体" w:hAnsi="宋体" w:cs="宋体"/>
                <w:szCs w:val="21"/>
              </w:rPr>
              <w:t>7、分辨率：全高清FHD+</w:t>
            </w:r>
          </w:p>
          <w:p>
            <w:pPr>
              <w:spacing w:line="312" w:lineRule="auto"/>
              <w:rPr>
                <w:rFonts w:ascii="宋体" w:hAnsi="宋体" w:cs="宋体"/>
                <w:szCs w:val="21"/>
              </w:rPr>
            </w:pPr>
            <w:r>
              <w:rPr>
                <w:rFonts w:hint="eastAsia" w:ascii="宋体" w:hAnsi="宋体" w:cs="宋体"/>
                <w:szCs w:val="21"/>
              </w:rPr>
              <w:t>8、屏幕比例：19.6~20:9</w:t>
            </w:r>
          </w:p>
          <w:p>
            <w:pPr>
              <w:spacing w:line="312" w:lineRule="auto"/>
              <w:rPr>
                <w:rFonts w:ascii="宋体" w:hAnsi="宋体" w:cs="宋体"/>
                <w:szCs w:val="21"/>
              </w:rPr>
            </w:pPr>
            <w:r>
              <w:rPr>
                <w:rFonts w:hint="eastAsia" w:ascii="宋体" w:hAnsi="宋体" w:cs="宋体"/>
                <w:szCs w:val="21"/>
              </w:rPr>
              <w:t>9、屏幕前摄组合：水滴屏</w:t>
            </w:r>
          </w:p>
          <w:p>
            <w:pPr>
              <w:spacing w:line="312" w:lineRule="auto"/>
              <w:rPr>
                <w:rFonts w:ascii="宋体" w:hAnsi="宋体" w:cs="宋体"/>
                <w:szCs w:val="21"/>
              </w:rPr>
            </w:pPr>
            <w:r>
              <w:rPr>
                <w:rFonts w:hint="eastAsia" w:ascii="宋体" w:hAnsi="宋体" w:cs="宋体"/>
                <w:szCs w:val="21"/>
              </w:rPr>
              <w:t>10、热点：人脸识别，快速充电，5G，超高屏占比</w:t>
            </w:r>
          </w:p>
          <w:p>
            <w:pPr>
              <w:spacing w:line="312" w:lineRule="auto"/>
              <w:rPr>
                <w:rFonts w:ascii="宋体" w:hAnsi="宋体" w:cs="宋体"/>
                <w:szCs w:val="21"/>
              </w:rPr>
            </w:pPr>
            <w:r>
              <w:rPr>
                <w:rFonts w:hint="eastAsia" w:ascii="宋体" w:hAnsi="宋体" w:cs="宋体"/>
                <w:szCs w:val="21"/>
              </w:rPr>
              <w:t>11、屏占比：≥90%</w:t>
            </w:r>
          </w:p>
          <w:p>
            <w:pPr>
              <w:spacing w:line="312" w:lineRule="auto"/>
              <w:rPr>
                <w:rFonts w:ascii="宋体" w:hAnsi="宋体" w:cs="宋体"/>
                <w:szCs w:val="21"/>
              </w:rPr>
            </w:pPr>
            <w:r>
              <w:rPr>
                <w:rFonts w:hint="eastAsia" w:ascii="宋体" w:hAnsi="宋体" w:cs="宋体"/>
                <w:szCs w:val="21"/>
              </w:rPr>
              <w:t>12、功能：超大字体，语音识别(文字语音互转)，极简桌面模式</w:t>
            </w:r>
          </w:p>
          <w:p>
            <w:pPr>
              <w:spacing w:line="312" w:lineRule="auto"/>
              <w:rPr>
                <w:rFonts w:ascii="宋体" w:hAnsi="宋体" w:cs="宋体"/>
                <w:szCs w:val="21"/>
              </w:rPr>
            </w:pPr>
            <w:r>
              <w:rPr>
                <w:rFonts w:hint="eastAsia" w:ascii="宋体" w:hAnsi="宋体" w:cs="宋体"/>
                <w:szCs w:val="21"/>
              </w:rPr>
              <w:t>13、操作系统：Android(安卓)</w:t>
            </w:r>
          </w:p>
          <w:p>
            <w:pPr>
              <w:spacing w:line="312" w:lineRule="auto"/>
              <w:rPr>
                <w:rFonts w:ascii="宋体" w:hAnsi="宋体" w:cs="宋体"/>
                <w:color w:val="000000"/>
                <w:kern w:val="0"/>
                <w:szCs w:val="21"/>
              </w:rPr>
            </w:pPr>
            <w:r>
              <w:rPr>
                <w:rFonts w:hint="eastAsia" w:ascii="宋体" w:hAnsi="宋体" w:cs="宋体"/>
                <w:szCs w:val="21"/>
              </w:rPr>
              <w:t>14、双模5G 超大存储 5000mAh大电池 18W疾速快充 90Hz高刷屏全面屏手机</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部</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系统平台适应性测试移动终端3</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1、运行内存：8GB</w:t>
            </w:r>
          </w:p>
          <w:p>
            <w:pPr>
              <w:spacing w:line="312" w:lineRule="auto"/>
              <w:rPr>
                <w:rFonts w:ascii="宋体" w:hAnsi="宋体" w:cs="宋体"/>
                <w:szCs w:val="21"/>
              </w:rPr>
            </w:pPr>
            <w:r>
              <w:rPr>
                <w:rFonts w:hint="eastAsia" w:ascii="宋体" w:hAnsi="宋体" w:cs="宋体"/>
                <w:szCs w:val="21"/>
              </w:rPr>
              <w:t>2、机身存储：256GB</w:t>
            </w:r>
          </w:p>
          <w:p>
            <w:pPr>
              <w:spacing w:line="312" w:lineRule="auto"/>
              <w:rPr>
                <w:rFonts w:ascii="宋体" w:hAnsi="宋体" w:cs="宋体"/>
                <w:szCs w:val="21"/>
              </w:rPr>
            </w:pPr>
            <w:r>
              <w:rPr>
                <w:rFonts w:hint="eastAsia" w:ascii="宋体" w:hAnsi="宋体" w:cs="宋体"/>
                <w:szCs w:val="21"/>
              </w:rPr>
              <w:t>3、摄像头数量：后置四摄</w:t>
            </w:r>
          </w:p>
          <w:p>
            <w:pPr>
              <w:spacing w:line="312" w:lineRule="auto"/>
              <w:rPr>
                <w:rFonts w:ascii="宋体" w:hAnsi="宋体" w:cs="宋体"/>
                <w:szCs w:val="21"/>
              </w:rPr>
            </w:pPr>
            <w:r>
              <w:rPr>
                <w:rFonts w:hint="eastAsia" w:ascii="宋体" w:hAnsi="宋体" w:cs="宋体"/>
                <w:szCs w:val="21"/>
              </w:rPr>
              <w:t>4、后摄主摄像素：6400万像素</w:t>
            </w:r>
          </w:p>
          <w:p>
            <w:pPr>
              <w:spacing w:line="312" w:lineRule="auto"/>
              <w:rPr>
                <w:rFonts w:ascii="宋体" w:hAnsi="宋体" w:cs="宋体"/>
                <w:szCs w:val="21"/>
              </w:rPr>
            </w:pPr>
            <w:r>
              <w:rPr>
                <w:rFonts w:hint="eastAsia" w:ascii="宋体" w:hAnsi="宋体" w:cs="宋体"/>
                <w:szCs w:val="21"/>
              </w:rPr>
              <w:t>5、前摄主摄像素：1600万像素</w:t>
            </w:r>
          </w:p>
          <w:p>
            <w:pPr>
              <w:spacing w:line="312" w:lineRule="auto"/>
              <w:rPr>
                <w:rFonts w:ascii="宋体" w:hAnsi="宋体" w:cs="宋体"/>
                <w:szCs w:val="21"/>
              </w:rPr>
            </w:pPr>
            <w:r>
              <w:rPr>
                <w:rFonts w:hint="eastAsia" w:ascii="宋体" w:hAnsi="宋体" w:cs="宋体"/>
                <w:szCs w:val="21"/>
              </w:rPr>
              <w:t>6、分辨率：全高清FHD+</w:t>
            </w:r>
          </w:p>
          <w:p>
            <w:pPr>
              <w:spacing w:line="312" w:lineRule="auto"/>
              <w:rPr>
                <w:rFonts w:ascii="宋体" w:hAnsi="宋体" w:cs="宋体"/>
                <w:szCs w:val="21"/>
              </w:rPr>
            </w:pPr>
            <w:r>
              <w:rPr>
                <w:rFonts w:hint="eastAsia" w:ascii="宋体" w:hAnsi="宋体" w:cs="宋体"/>
                <w:szCs w:val="21"/>
              </w:rPr>
              <w:t>7、屏幕比例：19.6~20:9</w:t>
            </w:r>
          </w:p>
          <w:p>
            <w:pPr>
              <w:spacing w:line="312" w:lineRule="auto"/>
              <w:rPr>
                <w:rFonts w:ascii="宋体" w:hAnsi="宋体" w:cs="宋体"/>
                <w:szCs w:val="21"/>
              </w:rPr>
            </w:pPr>
            <w:r>
              <w:rPr>
                <w:rFonts w:hint="eastAsia" w:ascii="宋体" w:hAnsi="宋体" w:cs="宋体"/>
                <w:szCs w:val="21"/>
              </w:rPr>
              <w:t>8、屏幕前摄组合：极点屏</w:t>
            </w:r>
          </w:p>
          <w:p>
            <w:pPr>
              <w:spacing w:line="312" w:lineRule="auto"/>
              <w:rPr>
                <w:rFonts w:ascii="宋体" w:hAnsi="宋体" w:cs="宋体"/>
                <w:szCs w:val="21"/>
              </w:rPr>
            </w:pPr>
            <w:r>
              <w:rPr>
                <w:rFonts w:hint="eastAsia" w:ascii="宋体" w:hAnsi="宋体" w:cs="宋体"/>
                <w:szCs w:val="21"/>
              </w:rPr>
              <w:t>9、充电器：10V/4A；5V/2A；9V/2A</w:t>
            </w:r>
          </w:p>
          <w:p>
            <w:pPr>
              <w:spacing w:line="312" w:lineRule="auto"/>
              <w:rPr>
                <w:rFonts w:hint="default" w:ascii="宋体" w:hAnsi="宋体" w:eastAsia="宋体" w:cs="宋体"/>
                <w:szCs w:val="21"/>
                <w:lang w:val="en-US" w:eastAsia="zh-CN"/>
              </w:rPr>
            </w:pPr>
            <w:r>
              <w:rPr>
                <w:rFonts w:hint="eastAsia" w:ascii="宋体" w:hAnsi="宋体" w:cs="宋体"/>
                <w:szCs w:val="21"/>
              </w:rPr>
              <w:t>10、操作系统：鸿蒙操作系统（产品如果出厂为安卓操作系统，则产品应为鸿蒙官方支持的公测推送型号，交货后替换为鸿蒙操作系统）</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部</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一体机</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1、扫描、打印、复印一体机</w:t>
            </w:r>
          </w:p>
          <w:p>
            <w:pPr>
              <w:spacing w:line="312" w:lineRule="auto"/>
              <w:rPr>
                <w:rFonts w:ascii="宋体" w:hAnsi="宋体" w:cs="宋体"/>
                <w:szCs w:val="21"/>
              </w:rPr>
            </w:pPr>
            <w:r>
              <w:rPr>
                <w:rFonts w:hint="eastAsia" w:ascii="宋体" w:hAnsi="宋体" w:cs="宋体"/>
                <w:szCs w:val="21"/>
              </w:rPr>
              <w:t>2、耗材类型：一体式硒鼓</w:t>
            </w:r>
          </w:p>
          <w:p>
            <w:pPr>
              <w:spacing w:line="312" w:lineRule="auto"/>
              <w:rPr>
                <w:rFonts w:ascii="宋体" w:hAnsi="宋体" w:cs="宋体"/>
                <w:szCs w:val="21"/>
              </w:rPr>
            </w:pPr>
            <w:r>
              <w:rPr>
                <w:rFonts w:hint="eastAsia" w:ascii="宋体" w:hAnsi="宋体" w:cs="宋体"/>
                <w:szCs w:val="21"/>
              </w:rPr>
              <w:t>3、自动双面打印：支持自动双面打印，带输稿器</w:t>
            </w:r>
          </w:p>
          <w:p>
            <w:pPr>
              <w:spacing w:line="312" w:lineRule="auto"/>
              <w:rPr>
                <w:rFonts w:ascii="宋体" w:hAnsi="宋体" w:cs="宋体"/>
                <w:szCs w:val="21"/>
              </w:rPr>
            </w:pPr>
            <w:r>
              <w:rPr>
                <w:rFonts w:hint="eastAsia" w:ascii="宋体" w:hAnsi="宋体" w:cs="宋体"/>
                <w:szCs w:val="21"/>
              </w:rPr>
              <w:t>4、幅面：A4</w:t>
            </w:r>
          </w:p>
          <w:p>
            <w:pPr>
              <w:spacing w:line="312" w:lineRule="auto"/>
              <w:rPr>
                <w:rFonts w:ascii="宋体" w:hAnsi="宋体" w:cs="宋体"/>
                <w:szCs w:val="21"/>
              </w:rPr>
            </w:pPr>
            <w:r>
              <w:rPr>
                <w:rFonts w:hint="eastAsia" w:ascii="宋体" w:hAnsi="宋体" w:cs="宋体"/>
                <w:szCs w:val="21"/>
              </w:rPr>
              <w:t>5、技术类型：黑白激光</w:t>
            </w:r>
          </w:p>
          <w:p>
            <w:pPr>
              <w:spacing w:line="312" w:lineRule="auto"/>
              <w:rPr>
                <w:rFonts w:ascii="宋体" w:hAnsi="宋体" w:cs="宋体"/>
                <w:szCs w:val="21"/>
              </w:rPr>
            </w:pPr>
            <w:r>
              <w:rPr>
                <w:rFonts w:hint="eastAsia" w:ascii="宋体" w:hAnsi="宋体" w:cs="宋体"/>
                <w:szCs w:val="21"/>
              </w:rPr>
              <w:t>6、连接方式：有线，USB</w:t>
            </w:r>
          </w:p>
          <w:p>
            <w:pPr>
              <w:spacing w:line="312" w:lineRule="auto"/>
              <w:rPr>
                <w:rFonts w:ascii="宋体" w:hAnsi="宋体" w:cs="宋体"/>
                <w:szCs w:val="21"/>
              </w:rPr>
            </w:pPr>
            <w:r>
              <w:rPr>
                <w:rFonts w:hint="eastAsia" w:ascii="宋体" w:hAnsi="宋体" w:cs="宋体"/>
                <w:szCs w:val="21"/>
              </w:rPr>
              <w:t>7、首次打印时间：黑白(A4，就绪模式)：仅6.0秒；黑白(A4，睡眠模式)：仅7.6秒</w:t>
            </w:r>
          </w:p>
          <w:p>
            <w:pPr>
              <w:spacing w:line="312" w:lineRule="auto"/>
              <w:rPr>
                <w:rFonts w:ascii="宋体" w:hAnsi="宋体" w:cs="宋体"/>
                <w:szCs w:val="21"/>
              </w:rPr>
            </w:pPr>
            <w:r>
              <w:rPr>
                <w:rFonts w:hint="eastAsia" w:ascii="宋体" w:hAnsi="宋体" w:cs="宋体"/>
                <w:szCs w:val="21"/>
              </w:rPr>
              <w:t>分辨率：黑白(最佳模式)：HP FastRes 1,200(增强分辨率高达4,800x600dpi)；黑白(精细模式)：HP ProRes1200(高达1,200x1,200dpi)；</w:t>
            </w:r>
          </w:p>
          <w:p>
            <w:pPr>
              <w:spacing w:line="312" w:lineRule="auto"/>
              <w:rPr>
                <w:rFonts w:ascii="宋体" w:hAnsi="宋体" w:cs="宋体"/>
                <w:color w:val="000000"/>
                <w:kern w:val="0"/>
                <w:szCs w:val="21"/>
              </w:rPr>
            </w:pPr>
            <w:r>
              <w:rPr>
                <w:rFonts w:hint="eastAsia" w:ascii="宋体" w:hAnsi="宋体" w:cs="宋体"/>
                <w:szCs w:val="21"/>
              </w:rPr>
              <w:t>8、打印速度：黑白(A4，正常模式)：高达35页/分钟；黑白(letter，正常模式)：高达37页/分钟；黑白(A4，双面打印)：高达31面/分钟；黑白(letter，双面打印)：高达33面/分钟；黑白(A5，横向)：高达58页/分钟</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ascii="宋体" w:hAnsi="宋体" w:cs="宋体"/>
                <w:color w:val="000000"/>
                <w:kern w:val="0"/>
                <w:szCs w:val="21"/>
              </w:rPr>
              <w:t>LCD显示设备</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1、投影技术：3LCD；</w:t>
            </w:r>
          </w:p>
          <w:p>
            <w:pPr>
              <w:spacing w:line="312" w:lineRule="auto"/>
              <w:rPr>
                <w:rFonts w:ascii="宋体" w:hAnsi="宋体" w:cs="宋体"/>
                <w:szCs w:val="21"/>
              </w:rPr>
            </w:pPr>
            <w:r>
              <w:rPr>
                <w:rFonts w:hint="eastAsia" w:ascii="宋体" w:hAnsi="宋体" w:cs="宋体"/>
                <w:szCs w:val="21"/>
              </w:rPr>
              <w:t>2、亮度：≥3800流明；</w:t>
            </w:r>
          </w:p>
          <w:p>
            <w:pPr>
              <w:spacing w:line="312" w:lineRule="auto"/>
              <w:rPr>
                <w:rFonts w:ascii="宋体" w:hAnsi="宋体" w:cs="宋体"/>
                <w:szCs w:val="21"/>
              </w:rPr>
            </w:pPr>
            <w:r>
              <w:rPr>
                <w:rFonts w:hint="eastAsia" w:ascii="宋体" w:hAnsi="宋体" w:cs="宋体"/>
                <w:szCs w:val="21"/>
              </w:rPr>
              <w:t>3、液晶显板尺寸：0.63英寸×3；</w:t>
            </w:r>
          </w:p>
          <w:p>
            <w:pPr>
              <w:spacing w:line="312" w:lineRule="auto"/>
              <w:rPr>
                <w:rFonts w:ascii="宋体" w:hAnsi="宋体" w:cs="宋体"/>
                <w:szCs w:val="21"/>
              </w:rPr>
            </w:pPr>
            <w:r>
              <w:rPr>
                <w:rFonts w:hint="eastAsia" w:ascii="宋体" w:hAnsi="宋体" w:cs="宋体"/>
                <w:szCs w:val="21"/>
              </w:rPr>
              <w:t>4、标准分辨率：1024×768；</w:t>
            </w:r>
          </w:p>
          <w:p>
            <w:pPr>
              <w:spacing w:line="312" w:lineRule="auto"/>
              <w:rPr>
                <w:rFonts w:ascii="宋体" w:hAnsi="宋体" w:cs="宋体"/>
                <w:szCs w:val="21"/>
              </w:rPr>
            </w:pPr>
            <w:r>
              <w:rPr>
                <w:rFonts w:hint="eastAsia" w:ascii="宋体" w:hAnsi="宋体" w:cs="宋体"/>
                <w:szCs w:val="21"/>
              </w:rPr>
              <w:t>5、灯泡：≤225W  标准模式下灯泡寿命≥10000小时（节能模式下灯泡寿命≥15000小时）；</w:t>
            </w:r>
          </w:p>
          <w:p>
            <w:pPr>
              <w:spacing w:line="312" w:lineRule="auto"/>
              <w:rPr>
                <w:rFonts w:ascii="宋体" w:hAnsi="宋体" w:cs="宋体"/>
                <w:szCs w:val="21"/>
              </w:rPr>
            </w:pPr>
            <w:r>
              <w:rPr>
                <w:rFonts w:hint="eastAsia" w:ascii="宋体" w:hAnsi="宋体" w:cs="宋体"/>
                <w:szCs w:val="21"/>
              </w:rPr>
              <w:t>6、对比度：≥16000：1；</w:t>
            </w:r>
          </w:p>
          <w:p>
            <w:pPr>
              <w:spacing w:line="312" w:lineRule="auto"/>
              <w:rPr>
                <w:rFonts w:ascii="宋体" w:hAnsi="宋体" w:cs="宋体"/>
                <w:szCs w:val="21"/>
              </w:rPr>
            </w:pPr>
            <w:r>
              <w:rPr>
                <w:rFonts w:hint="eastAsia" w:ascii="宋体" w:hAnsi="宋体" w:cs="宋体"/>
                <w:szCs w:val="21"/>
              </w:rPr>
              <w:t>7、屏幕尺寸：30-300英寸；</w:t>
            </w:r>
          </w:p>
          <w:p>
            <w:pPr>
              <w:spacing w:line="312" w:lineRule="auto"/>
              <w:rPr>
                <w:rFonts w:ascii="宋体" w:hAnsi="宋体" w:cs="宋体"/>
                <w:szCs w:val="21"/>
              </w:rPr>
            </w:pPr>
            <w:r>
              <w:rPr>
                <w:rFonts w:hint="eastAsia" w:ascii="宋体" w:hAnsi="宋体" w:cs="宋体"/>
                <w:szCs w:val="21"/>
              </w:rPr>
              <w:t>8、端口：HDMI输入端口×2；D-SUB15针VGA输入×1；复合视频输入×1；(左/右) RCA 音频×1；带音频输入×1；D-SUB15针VGA输出接口；RJ-45网络接口；USB-A接口(5V/1A)；USB-B接口;控制9、RS232串口；带音频输出×1；</w:t>
            </w:r>
          </w:p>
          <w:p>
            <w:pPr>
              <w:spacing w:line="312" w:lineRule="auto"/>
              <w:rPr>
                <w:rFonts w:ascii="宋体" w:hAnsi="宋体" w:cs="宋体"/>
                <w:szCs w:val="21"/>
              </w:rPr>
            </w:pPr>
            <w:r>
              <w:rPr>
                <w:rFonts w:hint="eastAsia" w:ascii="宋体" w:hAnsi="宋体" w:cs="宋体"/>
                <w:szCs w:val="21"/>
              </w:rPr>
              <w:t>10、内置扬声器：≥16W；</w:t>
            </w:r>
          </w:p>
          <w:p>
            <w:pPr>
              <w:spacing w:line="312" w:lineRule="auto"/>
              <w:rPr>
                <w:rFonts w:ascii="宋体" w:hAnsi="宋体" w:cs="宋体"/>
                <w:szCs w:val="21"/>
              </w:rPr>
            </w:pPr>
            <w:r>
              <w:rPr>
                <w:rFonts w:hint="eastAsia" w:ascii="宋体" w:hAnsi="宋体" w:cs="宋体"/>
                <w:szCs w:val="21"/>
              </w:rPr>
              <w:t>11、功耗（标准）： ≤277W，最低待机功耗： ≤0.26W；</w:t>
            </w:r>
          </w:p>
          <w:p>
            <w:pPr>
              <w:spacing w:line="312" w:lineRule="auto"/>
              <w:rPr>
                <w:rFonts w:ascii="宋体" w:hAnsi="宋体" w:cs="宋体"/>
                <w:szCs w:val="21"/>
              </w:rPr>
            </w:pPr>
            <w:r>
              <w:rPr>
                <w:rFonts w:hint="eastAsia" w:ascii="宋体" w:hAnsi="宋体" w:cs="宋体"/>
                <w:szCs w:val="21"/>
              </w:rPr>
              <w:t>功能：</w:t>
            </w:r>
          </w:p>
          <w:p>
            <w:pPr>
              <w:spacing w:line="312" w:lineRule="auto"/>
              <w:rPr>
                <w:rFonts w:ascii="宋体" w:hAnsi="宋体" w:cs="宋体"/>
                <w:szCs w:val="21"/>
              </w:rPr>
            </w:pPr>
            <w:r>
              <w:rPr>
                <w:rFonts w:hint="eastAsia" w:ascii="宋体" w:hAnsi="宋体" w:cs="宋体"/>
                <w:szCs w:val="21"/>
              </w:rPr>
              <w:t>12、投影机采用最新的无机液晶面板；</w:t>
            </w:r>
          </w:p>
          <w:p>
            <w:pPr>
              <w:spacing w:line="312" w:lineRule="auto"/>
              <w:rPr>
                <w:rFonts w:ascii="宋体" w:hAnsi="宋体" w:cs="宋体"/>
                <w:szCs w:val="21"/>
              </w:rPr>
            </w:pPr>
            <w:r>
              <w:rPr>
                <w:rFonts w:hint="eastAsia" w:ascii="宋体" w:hAnsi="宋体" w:cs="宋体"/>
                <w:szCs w:val="21"/>
              </w:rPr>
              <w:t>13、液晶板散热方式为冲突风冷：用于冷却电子装置的发热点的设备及冷却方法，以及液晶投影设备；</w:t>
            </w:r>
          </w:p>
          <w:p>
            <w:pPr>
              <w:spacing w:line="312" w:lineRule="auto"/>
              <w:rPr>
                <w:rFonts w:ascii="宋体" w:hAnsi="宋体" w:cs="宋体"/>
                <w:szCs w:val="21"/>
              </w:rPr>
            </w:pPr>
            <w:r>
              <w:rPr>
                <w:rFonts w:hint="eastAsia" w:ascii="宋体" w:hAnsi="宋体" w:cs="宋体"/>
                <w:szCs w:val="21"/>
              </w:rPr>
              <w:t>14、投影机具备垂直和水平梯形校正，支持自动梯形校正，四点几何校正和枕型失真校正；</w:t>
            </w:r>
          </w:p>
          <w:p>
            <w:pPr>
              <w:spacing w:line="312" w:lineRule="auto"/>
              <w:rPr>
                <w:rFonts w:ascii="宋体" w:hAnsi="宋体" w:cs="宋体"/>
                <w:szCs w:val="21"/>
              </w:rPr>
            </w:pPr>
            <w:r>
              <w:rPr>
                <w:rFonts w:hint="eastAsia" w:ascii="宋体" w:hAnsi="宋体" w:cs="宋体"/>
                <w:szCs w:val="21"/>
              </w:rPr>
              <w:t>15、通过RGB线连接可以在电脑上控制投影机；</w:t>
            </w:r>
          </w:p>
          <w:p>
            <w:pPr>
              <w:spacing w:line="312" w:lineRule="auto"/>
              <w:rPr>
                <w:rFonts w:ascii="宋体" w:hAnsi="宋体" w:cs="宋体"/>
                <w:szCs w:val="21"/>
              </w:rPr>
            </w:pPr>
            <w:r>
              <w:rPr>
                <w:rFonts w:hint="eastAsia" w:ascii="宋体" w:hAnsi="宋体" w:cs="宋体"/>
                <w:szCs w:val="21"/>
              </w:rPr>
              <w:t>16、接通电源投影机自动开机的直接通电功能；</w:t>
            </w:r>
          </w:p>
          <w:p>
            <w:pPr>
              <w:spacing w:line="312" w:lineRule="auto"/>
              <w:rPr>
                <w:rFonts w:ascii="宋体" w:hAnsi="宋体" w:cs="宋体"/>
                <w:szCs w:val="21"/>
              </w:rPr>
            </w:pPr>
            <w:r>
              <w:rPr>
                <w:rFonts w:hint="eastAsia" w:ascii="宋体" w:hAnsi="宋体" w:cs="宋体"/>
                <w:szCs w:val="21"/>
              </w:rPr>
              <w:t>17、正常待机模式接入信号即可自动开机并投射影像的自动开机功能；</w:t>
            </w:r>
          </w:p>
          <w:p>
            <w:pPr>
              <w:spacing w:line="312" w:lineRule="auto"/>
              <w:rPr>
                <w:rFonts w:ascii="宋体" w:hAnsi="宋体" w:cs="宋体"/>
                <w:szCs w:val="21"/>
              </w:rPr>
            </w:pPr>
            <w:r>
              <w:rPr>
                <w:rFonts w:hint="eastAsia" w:ascii="宋体" w:hAnsi="宋体" w:cs="宋体"/>
                <w:szCs w:val="21"/>
              </w:rPr>
              <w:t>18、支持网络控制功能，自动监控设备运行状态和控制设置（提供中文版操作软件），可同时控制多台显示设备大规模混合显示终端，具备网络多画面投影功能，可通过有线/无线方式进行连接，并可提供全平台（Windows，MAC OS，IOS，安卓）统一名称中文版软件，支持50台设备同时接入，16画面同时显示；</w:t>
            </w:r>
          </w:p>
          <w:p>
            <w:pPr>
              <w:spacing w:line="312" w:lineRule="auto"/>
              <w:rPr>
                <w:rFonts w:ascii="宋体" w:hAnsi="宋体" w:cs="宋体"/>
                <w:szCs w:val="21"/>
              </w:rPr>
            </w:pPr>
            <w:r>
              <w:rPr>
                <w:rFonts w:hint="eastAsia" w:ascii="宋体" w:hAnsi="宋体" w:cs="宋体"/>
                <w:szCs w:val="21"/>
              </w:rPr>
              <w:t>19、所投设备网络投影功能支持音视频同步传输；</w:t>
            </w:r>
          </w:p>
          <w:p>
            <w:pPr>
              <w:spacing w:line="312" w:lineRule="auto"/>
              <w:rPr>
                <w:rFonts w:ascii="宋体" w:hAnsi="宋体" w:cs="宋体"/>
                <w:szCs w:val="21"/>
              </w:rPr>
            </w:pPr>
            <w:r>
              <w:rPr>
                <w:rFonts w:hint="eastAsia" w:ascii="宋体" w:hAnsi="宋体" w:cs="宋体"/>
                <w:szCs w:val="21"/>
              </w:rPr>
              <w:t>20、具有U盘直读更换开机LOGO功能,密码防盗功能；具有USB导线直连显示功能；</w:t>
            </w:r>
          </w:p>
          <w:p>
            <w:pPr>
              <w:spacing w:line="312" w:lineRule="auto"/>
              <w:rPr>
                <w:rFonts w:ascii="宋体" w:hAnsi="宋体" w:cs="宋体"/>
                <w:szCs w:val="21"/>
              </w:rPr>
            </w:pPr>
            <w:r>
              <w:rPr>
                <w:rFonts w:hint="eastAsia" w:ascii="宋体" w:hAnsi="宋体" w:cs="宋体"/>
                <w:szCs w:val="21"/>
              </w:rPr>
              <w:t>颜色增强模式</w:t>
            </w:r>
          </w:p>
          <w:p>
            <w:pPr>
              <w:spacing w:line="312" w:lineRule="auto"/>
              <w:rPr>
                <w:rFonts w:ascii="宋体" w:hAnsi="宋体" w:cs="宋体"/>
                <w:szCs w:val="21"/>
              </w:rPr>
            </w:pPr>
            <w:r>
              <w:rPr>
                <w:rFonts w:hint="eastAsia" w:ascii="宋体" w:hAnsi="宋体" w:cs="宋体"/>
                <w:szCs w:val="21"/>
              </w:rPr>
              <w:t>21、具备CO2减排提示功能，具有多种节能模式选择；</w:t>
            </w:r>
          </w:p>
          <w:p>
            <w:pPr>
              <w:spacing w:line="312" w:lineRule="auto"/>
              <w:rPr>
                <w:rFonts w:ascii="宋体" w:hAnsi="宋体" w:cs="宋体"/>
                <w:szCs w:val="21"/>
              </w:rPr>
            </w:pPr>
            <w:r>
              <w:rPr>
                <w:rFonts w:hint="eastAsia" w:ascii="宋体" w:hAnsi="宋体" w:cs="宋体"/>
                <w:szCs w:val="21"/>
              </w:rPr>
              <w:t>22、具有色温精准调校功能；支持兼容4K超高清数字信号；</w:t>
            </w:r>
          </w:p>
          <w:p>
            <w:pPr>
              <w:spacing w:line="312" w:lineRule="auto"/>
              <w:rPr>
                <w:rFonts w:ascii="宋体" w:hAnsi="宋体" w:cs="宋体"/>
                <w:szCs w:val="21"/>
              </w:rPr>
            </w:pPr>
            <w:r>
              <w:rPr>
                <w:rFonts w:hint="eastAsia" w:ascii="宋体" w:hAnsi="宋体" w:cs="宋体"/>
                <w:szCs w:val="21"/>
              </w:rPr>
              <w:t>23、支持信号画面无缝切换，保持投影机不进入黑屏状态得同时写入新图像，无黑屏无闪烁；</w:t>
            </w:r>
          </w:p>
          <w:p>
            <w:pPr>
              <w:spacing w:line="312" w:lineRule="auto"/>
              <w:rPr>
                <w:rFonts w:ascii="宋体" w:hAnsi="宋体" w:cs="宋体"/>
                <w:szCs w:val="21"/>
              </w:rPr>
            </w:pPr>
            <w:r>
              <w:rPr>
                <w:rFonts w:hint="eastAsia" w:ascii="宋体" w:hAnsi="宋体" w:cs="宋体"/>
                <w:szCs w:val="21"/>
              </w:rPr>
              <w:t>24、支持颜色增强模式；满足DICOM标准要求；</w:t>
            </w:r>
          </w:p>
          <w:p>
            <w:pPr>
              <w:spacing w:line="312" w:lineRule="auto"/>
              <w:rPr>
                <w:rFonts w:ascii="宋体" w:hAnsi="宋体" w:cs="宋体"/>
                <w:szCs w:val="21"/>
              </w:rPr>
            </w:pPr>
            <w:r>
              <w:rPr>
                <w:rFonts w:hint="eastAsia" w:ascii="宋体" w:hAnsi="宋体" w:cs="宋体"/>
                <w:szCs w:val="21"/>
              </w:rPr>
              <w:t>25、机身标识、遥控器及菜单为中文；</w:t>
            </w:r>
          </w:p>
          <w:p>
            <w:pPr>
              <w:spacing w:line="312" w:lineRule="auto"/>
              <w:rPr>
                <w:rFonts w:ascii="宋体" w:hAnsi="宋体" w:cs="宋体"/>
                <w:szCs w:val="21"/>
              </w:rPr>
            </w:pPr>
            <w:r>
              <w:rPr>
                <w:rFonts w:hint="eastAsia" w:ascii="宋体" w:hAnsi="宋体" w:cs="宋体"/>
                <w:szCs w:val="21"/>
              </w:rPr>
              <w:t xml:space="preserve">26、多种壁色，不同背景色，可以在黑板或其他颜色背景墙上直接投影；     </w:t>
            </w:r>
          </w:p>
          <w:p>
            <w:pPr>
              <w:spacing w:line="312" w:lineRule="auto"/>
              <w:rPr>
                <w:rFonts w:ascii="宋体" w:hAnsi="宋体" w:cs="宋体"/>
                <w:b/>
                <w:szCs w:val="21"/>
              </w:rPr>
            </w:pPr>
            <w:r>
              <w:rPr>
                <w:rFonts w:ascii="宋体" w:hAnsi="宋体" w:cs="宋体"/>
                <w:b/>
                <w:szCs w:val="21"/>
              </w:rPr>
              <w:t>27、供应商须提供LCD显示设备的国家权威</w:t>
            </w:r>
            <w:r>
              <w:rPr>
                <w:rFonts w:hint="eastAsia" w:ascii="宋体" w:hAnsi="宋体" w:cs="宋体"/>
                <w:b/>
                <w:szCs w:val="21"/>
              </w:rPr>
              <w:t>机构</w:t>
            </w:r>
            <w:r>
              <w:rPr>
                <w:rFonts w:ascii="宋体" w:hAnsi="宋体" w:cs="宋体"/>
                <w:b/>
                <w:szCs w:val="21"/>
              </w:rPr>
              <w:t>检测报告（ISO标准）和所投机型的节能、环保认证证书复印件。</w:t>
            </w:r>
          </w:p>
          <w:p>
            <w:pPr>
              <w:spacing w:line="312" w:lineRule="auto"/>
              <w:rPr>
                <w:rFonts w:ascii="宋体" w:hAnsi="宋体" w:cs="宋体"/>
                <w:b/>
                <w:color w:val="FF0000"/>
                <w:szCs w:val="21"/>
              </w:rPr>
            </w:pPr>
            <w:r>
              <w:rPr>
                <w:rFonts w:ascii="宋体" w:hAnsi="宋体" w:cs="宋体"/>
                <w:b/>
                <w:szCs w:val="21"/>
              </w:rPr>
              <w:t>28、</w:t>
            </w:r>
            <w:r>
              <w:rPr>
                <w:rFonts w:hint="eastAsia" w:ascii="宋体" w:hAnsi="宋体" w:cs="宋体"/>
                <w:b/>
                <w:szCs w:val="21"/>
              </w:rPr>
              <w:t>响应文件中供应商提供三年原厂免费售后服务承诺。</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宽带路由器</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1、防火墙：支持</w:t>
            </w:r>
          </w:p>
          <w:p>
            <w:pPr>
              <w:spacing w:line="312" w:lineRule="auto"/>
              <w:rPr>
                <w:rFonts w:ascii="宋体" w:hAnsi="宋体" w:cs="宋体"/>
                <w:szCs w:val="21"/>
              </w:rPr>
            </w:pPr>
            <w:r>
              <w:rPr>
                <w:rFonts w:hint="eastAsia" w:ascii="宋体" w:hAnsi="宋体" w:cs="宋体"/>
                <w:szCs w:val="21"/>
              </w:rPr>
              <w:t>2、质保期：36个月</w:t>
            </w:r>
          </w:p>
          <w:p>
            <w:pPr>
              <w:spacing w:line="312" w:lineRule="auto"/>
              <w:rPr>
                <w:rFonts w:ascii="宋体" w:hAnsi="宋体" w:cs="宋体"/>
                <w:szCs w:val="21"/>
              </w:rPr>
            </w:pPr>
            <w:r>
              <w:rPr>
                <w:rFonts w:hint="eastAsia" w:ascii="宋体" w:hAnsi="宋体" w:cs="宋体"/>
                <w:szCs w:val="21"/>
              </w:rPr>
              <w:t>3、LAN输出口：千兆网口</w:t>
            </w:r>
          </w:p>
          <w:p>
            <w:pPr>
              <w:spacing w:line="312" w:lineRule="auto"/>
              <w:rPr>
                <w:rFonts w:ascii="宋体" w:hAnsi="宋体" w:cs="宋体"/>
                <w:szCs w:val="21"/>
              </w:rPr>
            </w:pPr>
            <w:r>
              <w:rPr>
                <w:rFonts w:hint="eastAsia" w:ascii="宋体" w:hAnsi="宋体" w:cs="宋体"/>
                <w:szCs w:val="21"/>
              </w:rPr>
              <w:t>4、天线：外置天线</w:t>
            </w:r>
          </w:p>
          <w:p>
            <w:pPr>
              <w:spacing w:line="312" w:lineRule="auto"/>
              <w:rPr>
                <w:rFonts w:ascii="宋体" w:hAnsi="宋体" w:cs="宋体"/>
                <w:szCs w:val="21"/>
              </w:rPr>
            </w:pPr>
            <w:r>
              <w:rPr>
                <w:rFonts w:hint="eastAsia" w:ascii="宋体" w:hAnsi="宋体" w:cs="宋体"/>
                <w:szCs w:val="21"/>
              </w:rPr>
              <w:t>5、APP端控制：支持</w:t>
            </w:r>
          </w:p>
          <w:p>
            <w:pPr>
              <w:spacing w:line="312" w:lineRule="auto"/>
              <w:rPr>
                <w:rFonts w:ascii="宋体" w:hAnsi="宋体" w:cs="宋体"/>
                <w:szCs w:val="21"/>
              </w:rPr>
            </w:pPr>
            <w:r>
              <w:rPr>
                <w:rFonts w:hint="eastAsia" w:ascii="宋体" w:hAnsi="宋体" w:cs="宋体"/>
                <w:szCs w:val="21"/>
              </w:rPr>
              <w:t>6、支持IPv6：支持IPv6</w:t>
            </w:r>
          </w:p>
          <w:p>
            <w:pPr>
              <w:spacing w:line="312" w:lineRule="auto"/>
              <w:rPr>
                <w:rFonts w:ascii="宋体" w:hAnsi="宋体" w:cs="宋体"/>
                <w:szCs w:val="21"/>
              </w:rPr>
            </w:pPr>
            <w:r>
              <w:rPr>
                <w:rFonts w:hint="eastAsia" w:ascii="宋体" w:hAnsi="宋体" w:cs="宋体"/>
                <w:szCs w:val="21"/>
              </w:rPr>
              <w:t>7、是否有USB接口：是</w:t>
            </w:r>
          </w:p>
          <w:p>
            <w:pPr>
              <w:spacing w:line="312" w:lineRule="auto"/>
              <w:rPr>
                <w:rFonts w:ascii="宋体" w:hAnsi="宋体" w:cs="宋体"/>
                <w:szCs w:val="21"/>
              </w:rPr>
            </w:pPr>
            <w:r>
              <w:rPr>
                <w:rFonts w:hint="eastAsia" w:ascii="宋体" w:hAnsi="宋体" w:cs="宋体"/>
                <w:szCs w:val="21"/>
              </w:rPr>
              <w:t>8、适用面积：（120㎡ 以上）</w:t>
            </w:r>
          </w:p>
          <w:p>
            <w:pPr>
              <w:spacing w:line="312" w:lineRule="auto"/>
              <w:rPr>
                <w:rFonts w:ascii="宋体" w:hAnsi="宋体" w:cs="宋体"/>
                <w:szCs w:val="21"/>
              </w:rPr>
            </w:pPr>
            <w:r>
              <w:rPr>
                <w:rFonts w:hint="eastAsia" w:ascii="宋体" w:hAnsi="宋体" w:cs="宋体"/>
                <w:szCs w:val="21"/>
              </w:rPr>
              <w:t>9、处理器：博通（Broadcom）</w:t>
            </w:r>
          </w:p>
          <w:p>
            <w:pPr>
              <w:spacing w:line="312" w:lineRule="auto"/>
              <w:rPr>
                <w:rFonts w:ascii="宋体" w:hAnsi="宋体" w:cs="宋体"/>
                <w:szCs w:val="21"/>
              </w:rPr>
            </w:pPr>
            <w:r>
              <w:rPr>
                <w:rFonts w:hint="eastAsia" w:ascii="宋体" w:hAnsi="宋体" w:cs="宋体"/>
                <w:szCs w:val="21"/>
              </w:rPr>
              <w:t>10、无线协议：WiFi 6</w:t>
            </w:r>
          </w:p>
          <w:p>
            <w:pPr>
              <w:spacing w:line="312" w:lineRule="auto"/>
              <w:rPr>
                <w:rFonts w:ascii="宋体" w:hAnsi="宋体" w:cs="宋体"/>
                <w:szCs w:val="21"/>
              </w:rPr>
            </w:pPr>
            <w:r>
              <w:rPr>
                <w:rFonts w:hint="eastAsia" w:ascii="宋体" w:hAnsi="宋体" w:cs="宋体"/>
                <w:szCs w:val="21"/>
              </w:rPr>
              <w:t>11、天线数量：4根</w:t>
            </w:r>
          </w:p>
          <w:p>
            <w:pPr>
              <w:spacing w:line="312" w:lineRule="auto"/>
              <w:rPr>
                <w:rFonts w:ascii="宋体" w:hAnsi="宋体" w:cs="宋体"/>
                <w:szCs w:val="21"/>
              </w:rPr>
            </w:pPr>
            <w:r>
              <w:rPr>
                <w:rFonts w:hint="eastAsia" w:ascii="宋体" w:hAnsi="宋体" w:cs="宋体"/>
                <w:szCs w:val="21"/>
              </w:rPr>
              <w:t>12、无线速率：5400M</w:t>
            </w:r>
          </w:p>
          <w:p>
            <w:pPr>
              <w:spacing w:line="312" w:lineRule="auto"/>
              <w:rPr>
                <w:rFonts w:ascii="宋体" w:hAnsi="宋体" w:cs="宋体"/>
                <w:szCs w:val="21"/>
              </w:rPr>
            </w:pPr>
            <w:r>
              <w:rPr>
                <w:rFonts w:hint="eastAsia" w:ascii="宋体" w:hAnsi="宋体" w:cs="宋体"/>
                <w:szCs w:val="21"/>
              </w:rPr>
              <w:t>13、WAN接入口：千兆网口</w:t>
            </w:r>
          </w:p>
          <w:p>
            <w:pPr>
              <w:spacing w:line="312" w:lineRule="auto"/>
              <w:rPr>
                <w:rFonts w:ascii="宋体" w:hAnsi="宋体" w:cs="宋体"/>
                <w:szCs w:val="21"/>
              </w:rPr>
            </w:pPr>
            <w:r>
              <w:rPr>
                <w:rFonts w:hint="eastAsia" w:ascii="宋体" w:hAnsi="宋体" w:cs="宋体"/>
                <w:szCs w:val="21"/>
              </w:rPr>
              <w:t>14、处理器核数：其他</w:t>
            </w:r>
          </w:p>
          <w:p>
            <w:pPr>
              <w:spacing w:line="312" w:lineRule="auto"/>
              <w:rPr>
                <w:rFonts w:ascii="宋体" w:hAnsi="宋体" w:cs="宋体"/>
                <w:color w:val="000000"/>
                <w:kern w:val="0"/>
                <w:szCs w:val="21"/>
              </w:rPr>
            </w:pPr>
            <w:r>
              <w:rPr>
                <w:rFonts w:hint="eastAsia" w:ascii="宋体" w:hAnsi="宋体" w:cs="宋体"/>
                <w:szCs w:val="21"/>
              </w:rPr>
              <w:t>15、LAN口数量：4</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415" w:type="dxa"/>
            <w:gridSpan w:val="6"/>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二、教学过程支撑系统模定制开发服务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学生课程资源模块</w:t>
            </w:r>
          </w:p>
        </w:tc>
        <w:tc>
          <w:tcPr>
            <w:tcW w:w="630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12" w:lineRule="auto"/>
              <w:jc w:val="left"/>
              <w:rPr>
                <w:rFonts w:ascii="宋体" w:hAnsi="宋体" w:cs="宋体"/>
                <w:color w:val="000000"/>
                <w:kern w:val="0"/>
                <w:szCs w:val="21"/>
              </w:rPr>
            </w:pPr>
            <w:r>
              <w:rPr>
                <w:rFonts w:hint="eastAsia" w:ascii="宋体" w:hAnsi="宋体" w:cs="宋体"/>
                <w:color w:val="000000"/>
                <w:kern w:val="0"/>
                <w:szCs w:val="21"/>
              </w:rPr>
              <w:t>开发学生课程资源模块资源的资源在线预览功能，实现在线浏览服务器端的PDF、DOCX、XLSX、PNG、JPEG、TXT、MP4、MP3类型的资源文件；</w:t>
            </w:r>
          </w:p>
          <w:p>
            <w:pPr>
              <w:spacing w:line="312" w:lineRule="auto"/>
              <w:jc w:val="left"/>
              <w:rPr>
                <w:rFonts w:ascii="宋体" w:hAnsi="宋体" w:cs="宋体"/>
                <w:color w:val="000000"/>
                <w:kern w:val="0"/>
                <w:szCs w:val="21"/>
              </w:rPr>
            </w:pPr>
            <w:r>
              <w:rPr>
                <w:rFonts w:hint="eastAsia" w:ascii="宋体" w:hAnsi="宋体" w:cs="宋体"/>
                <w:color w:val="000000"/>
                <w:kern w:val="0"/>
                <w:szCs w:val="21"/>
              </w:rPr>
              <w:t>2、针对以上功能开发的模块代码可完全集成到学校现有的“教学过程支撑系统”中。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学生作业上传模块</w:t>
            </w:r>
          </w:p>
        </w:tc>
        <w:tc>
          <w:tcPr>
            <w:tcW w:w="6300"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12" w:lineRule="auto"/>
              <w:jc w:val="left"/>
              <w:rPr>
                <w:rFonts w:ascii="宋体" w:hAnsi="宋体" w:cs="宋体"/>
                <w:color w:val="000000"/>
                <w:kern w:val="0"/>
                <w:szCs w:val="21"/>
              </w:rPr>
            </w:pPr>
            <w:r>
              <w:rPr>
                <w:rFonts w:hint="eastAsia" w:ascii="宋体" w:hAnsi="宋体" w:cs="宋体"/>
                <w:color w:val="000000"/>
                <w:kern w:val="0"/>
                <w:szCs w:val="21"/>
              </w:rPr>
              <w:t>开发基于文件MD5技术的学生作业防作弊上传功能，即要求学生提交的作业文件的MD5码不能相同，相同则拒绝提交作业；</w:t>
            </w:r>
          </w:p>
          <w:p>
            <w:pPr>
              <w:numPr>
                <w:ilvl w:val="0"/>
                <w:numId w:val="4"/>
              </w:numPr>
              <w:spacing w:line="312" w:lineRule="auto"/>
              <w:jc w:val="left"/>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教师课程资源管理模块</w:t>
            </w:r>
          </w:p>
        </w:tc>
        <w:tc>
          <w:tcPr>
            <w:tcW w:w="6300"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12" w:lineRule="auto"/>
              <w:jc w:val="left"/>
              <w:rPr>
                <w:rFonts w:ascii="宋体" w:hAnsi="宋体" w:cs="宋体"/>
                <w:color w:val="000000"/>
                <w:kern w:val="0"/>
                <w:szCs w:val="21"/>
              </w:rPr>
            </w:pPr>
            <w:r>
              <w:rPr>
                <w:rFonts w:hint="eastAsia" w:ascii="宋体" w:hAnsi="宋体" w:cs="宋体"/>
                <w:color w:val="000000"/>
                <w:kern w:val="0"/>
                <w:szCs w:val="21"/>
              </w:rPr>
              <w:t>开发教师课程资源模块中大文件上传功能，可上传超过1GB大文件；</w:t>
            </w:r>
          </w:p>
          <w:p>
            <w:pPr>
              <w:numPr>
                <w:ilvl w:val="0"/>
                <w:numId w:val="5"/>
              </w:numPr>
              <w:spacing w:line="312" w:lineRule="auto"/>
              <w:jc w:val="left"/>
              <w:rPr>
                <w:rFonts w:ascii="宋体" w:hAnsi="宋体" w:cs="宋体"/>
                <w:color w:val="000000"/>
                <w:kern w:val="0"/>
                <w:szCs w:val="21"/>
              </w:rPr>
            </w:pPr>
            <w:r>
              <w:rPr>
                <w:rFonts w:hint="eastAsia" w:ascii="宋体" w:hAnsi="宋体" w:cs="宋体"/>
                <w:color w:val="000000"/>
                <w:kern w:val="0"/>
                <w:szCs w:val="21"/>
              </w:rPr>
              <w:t>大文件上传支持秒传功能；</w:t>
            </w:r>
          </w:p>
          <w:p>
            <w:pPr>
              <w:numPr>
                <w:ilvl w:val="0"/>
                <w:numId w:val="5"/>
              </w:numPr>
              <w:spacing w:line="312" w:lineRule="auto"/>
              <w:jc w:val="left"/>
              <w:rPr>
                <w:rFonts w:ascii="宋体" w:hAnsi="宋体" w:cs="宋体"/>
                <w:color w:val="000000"/>
                <w:kern w:val="0"/>
                <w:szCs w:val="21"/>
              </w:rPr>
            </w:pPr>
            <w:r>
              <w:rPr>
                <w:rFonts w:hint="eastAsia" w:ascii="宋体" w:hAnsi="宋体" w:cs="宋体"/>
                <w:color w:val="000000"/>
                <w:kern w:val="0"/>
                <w:szCs w:val="21"/>
              </w:rPr>
              <w:t>大文件上传支持断点续传功能；</w:t>
            </w:r>
          </w:p>
          <w:p>
            <w:pPr>
              <w:numPr>
                <w:ilvl w:val="0"/>
                <w:numId w:val="5"/>
              </w:numPr>
              <w:spacing w:line="312" w:lineRule="auto"/>
              <w:jc w:val="left"/>
              <w:rPr>
                <w:rFonts w:ascii="宋体" w:hAnsi="宋体" w:cs="宋体"/>
                <w:color w:val="000000"/>
                <w:kern w:val="0"/>
                <w:szCs w:val="21"/>
              </w:rPr>
            </w:pPr>
            <w:r>
              <w:rPr>
                <w:rFonts w:hint="eastAsia" w:ascii="宋体" w:hAnsi="宋体" w:cs="宋体"/>
                <w:color w:val="000000"/>
                <w:kern w:val="0"/>
                <w:szCs w:val="21"/>
              </w:rPr>
              <w:t>大文件上传实现上传进度显示；</w:t>
            </w:r>
          </w:p>
          <w:p>
            <w:pPr>
              <w:numPr>
                <w:ilvl w:val="0"/>
                <w:numId w:val="5"/>
              </w:numPr>
              <w:spacing w:line="312" w:lineRule="auto"/>
              <w:jc w:val="left"/>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课程UI定制功能模块</w:t>
            </w:r>
          </w:p>
        </w:tc>
        <w:tc>
          <w:tcPr>
            <w:tcW w:w="6300"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12" w:lineRule="auto"/>
              <w:jc w:val="left"/>
              <w:rPr>
                <w:rFonts w:ascii="宋体" w:hAnsi="宋体" w:cs="宋体"/>
                <w:color w:val="000000"/>
                <w:kern w:val="0"/>
                <w:szCs w:val="21"/>
              </w:rPr>
            </w:pPr>
            <w:r>
              <w:rPr>
                <w:rFonts w:hint="eastAsia" w:ascii="宋体" w:hAnsi="宋体" w:cs="宋体"/>
                <w:color w:val="000000"/>
                <w:kern w:val="0"/>
                <w:szCs w:val="21"/>
              </w:rPr>
              <w:t>开发教师在后台管理中定制前台课程显示图标；</w:t>
            </w:r>
          </w:p>
          <w:p>
            <w:pPr>
              <w:numPr>
                <w:ilvl w:val="0"/>
                <w:numId w:val="6"/>
              </w:numPr>
              <w:spacing w:line="312" w:lineRule="auto"/>
              <w:jc w:val="left"/>
              <w:rPr>
                <w:rFonts w:ascii="宋体" w:hAnsi="宋体" w:cs="宋体"/>
                <w:color w:val="000000"/>
                <w:kern w:val="0"/>
                <w:szCs w:val="21"/>
              </w:rPr>
            </w:pPr>
            <w:r>
              <w:rPr>
                <w:rFonts w:hint="eastAsia" w:ascii="宋体" w:hAnsi="宋体" w:cs="宋体"/>
                <w:color w:val="000000"/>
                <w:kern w:val="0"/>
                <w:szCs w:val="21"/>
              </w:rPr>
              <w:t>开发教师在后台管理中定制前台课程显示的背景色和文本颜色；</w:t>
            </w:r>
          </w:p>
          <w:p>
            <w:pPr>
              <w:numPr>
                <w:ilvl w:val="0"/>
                <w:numId w:val="6"/>
              </w:numPr>
              <w:spacing w:line="312" w:lineRule="auto"/>
              <w:jc w:val="left"/>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szCs w:val="21"/>
              </w:rPr>
              <w:t>在线考勤模块</w:t>
            </w:r>
          </w:p>
        </w:tc>
        <w:tc>
          <w:tcPr>
            <w:tcW w:w="6300"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12" w:lineRule="auto"/>
              <w:jc w:val="left"/>
              <w:rPr>
                <w:rFonts w:ascii="宋体" w:hAnsi="宋体" w:cs="宋体"/>
                <w:color w:val="000000"/>
                <w:kern w:val="0"/>
                <w:szCs w:val="21"/>
              </w:rPr>
            </w:pPr>
            <w:r>
              <w:rPr>
                <w:rFonts w:hint="eastAsia" w:ascii="宋体" w:hAnsi="宋体" w:cs="宋体"/>
                <w:color w:val="000000"/>
                <w:kern w:val="0"/>
                <w:szCs w:val="21"/>
              </w:rPr>
              <w:t>开发学生在线签到功能，签到功能支持电脑/平板/手机等多种类型终端；</w:t>
            </w:r>
          </w:p>
          <w:p>
            <w:pPr>
              <w:numPr>
                <w:ilvl w:val="0"/>
                <w:numId w:val="7"/>
              </w:numPr>
              <w:spacing w:line="312" w:lineRule="auto"/>
              <w:jc w:val="left"/>
              <w:rPr>
                <w:rFonts w:ascii="宋体" w:hAnsi="宋体" w:cs="宋体"/>
                <w:color w:val="000000"/>
                <w:kern w:val="0"/>
                <w:szCs w:val="21"/>
              </w:rPr>
            </w:pPr>
            <w:r>
              <w:rPr>
                <w:rFonts w:hint="eastAsia" w:ascii="宋体" w:hAnsi="宋体" w:cs="宋体"/>
                <w:color w:val="000000"/>
                <w:kern w:val="0"/>
                <w:szCs w:val="21"/>
              </w:rPr>
              <w:t>开发教师在后台实现随堂点名功能；</w:t>
            </w:r>
          </w:p>
          <w:p>
            <w:pPr>
              <w:numPr>
                <w:ilvl w:val="0"/>
                <w:numId w:val="7"/>
              </w:numPr>
              <w:spacing w:line="312" w:lineRule="auto"/>
              <w:jc w:val="left"/>
              <w:rPr>
                <w:rFonts w:ascii="宋体" w:hAnsi="宋体" w:cs="宋体"/>
                <w:color w:val="000000"/>
                <w:kern w:val="0"/>
                <w:szCs w:val="21"/>
              </w:rPr>
            </w:pPr>
            <w:r>
              <w:rPr>
                <w:rFonts w:hint="eastAsia" w:ascii="宋体" w:hAnsi="宋体" w:cs="宋体"/>
                <w:color w:val="000000"/>
                <w:kern w:val="0"/>
                <w:szCs w:val="21"/>
              </w:rPr>
              <w:t>签到管理可查看教师所开课程的学生签到详细数据；</w:t>
            </w:r>
          </w:p>
          <w:p>
            <w:pPr>
              <w:numPr>
                <w:ilvl w:val="0"/>
                <w:numId w:val="7"/>
              </w:numPr>
              <w:spacing w:line="312" w:lineRule="auto"/>
              <w:jc w:val="left"/>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245"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szCs w:val="21"/>
              </w:rPr>
              <w:t>个人资源清单模块</w:t>
            </w:r>
          </w:p>
        </w:tc>
        <w:tc>
          <w:tcPr>
            <w:tcW w:w="6300" w:type="dxa"/>
            <w:tcBorders>
              <w:top w:val="single" w:color="auto" w:sz="4" w:space="0"/>
              <w:left w:val="single" w:color="auto" w:sz="4" w:space="0"/>
              <w:bottom w:val="single" w:color="auto" w:sz="4" w:space="0"/>
              <w:right w:val="single" w:color="auto" w:sz="4" w:space="0"/>
            </w:tcBorders>
            <w:vAlign w:val="center"/>
          </w:tcPr>
          <w:p>
            <w:pPr>
              <w:pStyle w:val="51"/>
              <w:numPr>
                <w:ilvl w:val="0"/>
                <w:numId w:val="8"/>
              </w:numPr>
              <w:spacing w:line="312" w:lineRule="auto"/>
              <w:rPr>
                <w:rFonts w:ascii="宋体" w:hAnsi="宋体" w:cs="宋体"/>
                <w:color w:val="000000"/>
                <w:kern w:val="0"/>
                <w:szCs w:val="21"/>
              </w:rPr>
            </w:pPr>
            <w:r>
              <w:rPr>
                <w:rFonts w:hint="eastAsia" w:ascii="宋体" w:hAnsi="宋体" w:cs="宋体"/>
                <w:color w:val="000000"/>
                <w:kern w:val="0"/>
                <w:szCs w:val="21"/>
              </w:rPr>
              <w:t>开课教师可查看自己的数据清单，清单包括账号基本信息、课程资源、学生作业、授课计划信息；</w:t>
            </w:r>
          </w:p>
          <w:p>
            <w:pPr>
              <w:pStyle w:val="51"/>
              <w:numPr>
                <w:ilvl w:val="0"/>
                <w:numId w:val="8"/>
              </w:numPr>
              <w:spacing w:line="312" w:lineRule="auto"/>
              <w:rPr>
                <w:rFonts w:ascii="宋体" w:hAnsi="宋体" w:cs="宋体"/>
                <w:color w:val="000000"/>
                <w:kern w:val="0"/>
                <w:szCs w:val="21"/>
              </w:rPr>
            </w:pPr>
            <w:r>
              <w:rPr>
                <w:rFonts w:hint="eastAsia" w:ascii="宋体" w:hAnsi="宋体" w:cs="宋体"/>
                <w:color w:val="000000"/>
                <w:kern w:val="0"/>
                <w:szCs w:val="21"/>
              </w:rPr>
              <w:t>通过数据清单功能可直接下载教师个人所上传的课程资源文件；</w:t>
            </w:r>
          </w:p>
          <w:p>
            <w:pPr>
              <w:pStyle w:val="51"/>
              <w:numPr>
                <w:ilvl w:val="0"/>
                <w:numId w:val="8"/>
              </w:numPr>
              <w:spacing w:line="312" w:lineRule="auto"/>
              <w:rPr>
                <w:rFonts w:ascii="宋体" w:hAnsi="宋体" w:cs="宋体"/>
                <w:color w:val="000000"/>
                <w:kern w:val="0"/>
                <w:szCs w:val="21"/>
              </w:rPr>
            </w:pPr>
            <w:r>
              <w:rPr>
                <w:rFonts w:hint="eastAsia" w:ascii="宋体" w:hAnsi="宋体" w:cs="宋体"/>
                <w:color w:val="000000"/>
                <w:kern w:val="0"/>
                <w:szCs w:val="21"/>
              </w:rPr>
              <w:t>通过数据清单功能可直接下载学生提交的作业文件；</w:t>
            </w:r>
          </w:p>
          <w:p>
            <w:pPr>
              <w:pStyle w:val="51"/>
              <w:numPr>
                <w:ilvl w:val="0"/>
                <w:numId w:val="8"/>
              </w:numPr>
              <w:spacing w:line="312" w:lineRule="auto"/>
              <w:rPr>
                <w:rFonts w:ascii="宋体" w:hAnsi="宋体" w:cs="宋体"/>
                <w:color w:val="000000"/>
                <w:kern w:val="0"/>
                <w:szCs w:val="21"/>
              </w:rPr>
            </w:pPr>
            <w:r>
              <w:rPr>
                <w:rFonts w:hint="eastAsia" w:ascii="宋体" w:hAnsi="宋体" w:cs="宋体"/>
                <w:color w:val="000000"/>
                <w:kern w:val="0"/>
                <w:szCs w:val="21"/>
              </w:rPr>
              <w:t>通过数据清单功能查看授课计划；</w:t>
            </w:r>
          </w:p>
          <w:p>
            <w:pPr>
              <w:pStyle w:val="51"/>
              <w:numPr>
                <w:ilvl w:val="0"/>
                <w:numId w:val="8"/>
              </w:numPr>
              <w:spacing w:line="312" w:lineRule="auto"/>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245"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szCs w:val="21"/>
              </w:rPr>
              <w:t>教学检查功能模块</w:t>
            </w:r>
          </w:p>
        </w:tc>
        <w:tc>
          <w:tcPr>
            <w:tcW w:w="6300" w:type="dxa"/>
            <w:tcBorders>
              <w:top w:val="single" w:color="auto" w:sz="4" w:space="0"/>
              <w:left w:val="single" w:color="auto" w:sz="4" w:space="0"/>
              <w:bottom w:val="single" w:color="auto" w:sz="4" w:space="0"/>
              <w:right w:val="single" w:color="auto" w:sz="4" w:space="0"/>
            </w:tcBorders>
            <w:vAlign w:val="center"/>
          </w:tcPr>
          <w:p>
            <w:pPr>
              <w:pStyle w:val="51"/>
              <w:numPr>
                <w:ilvl w:val="0"/>
                <w:numId w:val="9"/>
              </w:numPr>
              <w:spacing w:line="312" w:lineRule="auto"/>
              <w:rPr>
                <w:rFonts w:ascii="宋体" w:hAnsi="宋体" w:cs="宋体"/>
                <w:color w:val="000000"/>
                <w:kern w:val="0"/>
                <w:szCs w:val="21"/>
              </w:rPr>
            </w:pPr>
            <w:r>
              <w:rPr>
                <w:rFonts w:hint="eastAsia" w:ascii="宋体" w:hAnsi="宋体" w:cs="宋体"/>
                <w:color w:val="000000"/>
                <w:kern w:val="0"/>
                <w:szCs w:val="21"/>
              </w:rPr>
              <w:t>学院教务管理员角色的账号登录系统后，拥有“教学检查”导航菜单；通过“教学检查”导航菜单可常看全院教师的数据清单；</w:t>
            </w:r>
          </w:p>
          <w:p>
            <w:pPr>
              <w:pStyle w:val="51"/>
              <w:numPr>
                <w:ilvl w:val="0"/>
                <w:numId w:val="9"/>
              </w:numPr>
              <w:spacing w:line="312" w:lineRule="auto"/>
              <w:rPr>
                <w:rFonts w:ascii="宋体" w:hAnsi="宋体" w:cs="宋体"/>
                <w:color w:val="000000"/>
                <w:kern w:val="0"/>
                <w:szCs w:val="21"/>
              </w:rPr>
            </w:pPr>
            <w:r>
              <w:rPr>
                <w:rFonts w:hint="eastAsia" w:ascii="宋体" w:hAnsi="宋体" w:cs="宋体"/>
                <w:color w:val="000000"/>
                <w:kern w:val="0"/>
                <w:szCs w:val="21"/>
              </w:rPr>
              <w:t>系部教务管理员角色的账号登录系统后，拥有“教学检查”导航菜单；通过“教学检查”导航菜单可常看分院（系部）的教师的数据清单；</w:t>
            </w:r>
          </w:p>
          <w:p>
            <w:pPr>
              <w:pStyle w:val="51"/>
              <w:numPr>
                <w:ilvl w:val="0"/>
                <w:numId w:val="9"/>
              </w:numPr>
              <w:spacing w:line="312" w:lineRule="auto"/>
              <w:rPr>
                <w:rFonts w:ascii="宋体" w:hAnsi="宋体" w:cs="宋体"/>
                <w:color w:val="000000"/>
                <w:kern w:val="0"/>
                <w:szCs w:val="21"/>
              </w:rPr>
            </w:pPr>
            <w:r>
              <w:rPr>
                <w:rFonts w:hint="eastAsia" w:ascii="宋体" w:hAnsi="宋体" w:cs="宋体"/>
                <w:color w:val="000000"/>
                <w:kern w:val="0"/>
                <w:szCs w:val="21"/>
              </w:rPr>
              <w:t>专业建设团队负责人角色的账号登录系统后，拥有“教学检查”导航菜单；通过“教学检查”导航菜单可常看教学团队教师的数据清单；</w:t>
            </w:r>
          </w:p>
          <w:p>
            <w:pPr>
              <w:pStyle w:val="51"/>
              <w:numPr>
                <w:ilvl w:val="0"/>
                <w:numId w:val="9"/>
              </w:numPr>
              <w:spacing w:line="312" w:lineRule="auto"/>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245"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szCs w:val="21"/>
              </w:rPr>
              <w:t>数据导出功能模块</w:t>
            </w:r>
          </w:p>
        </w:tc>
        <w:tc>
          <w:tcPr>
            <w:tcW w:w="6300" w:type="dxa"/>
            <w:tcBorders>
              <w:top w:val="single" w:color="auto" w:sz="4" w:space="0"/>
              <w:left w:val="single" w:color="auto" w:sz="4" w:space="0"/>
              <w:bottom w:val="single" w:color="auto" w:sz="4" w:space="0"/>
              <w:right w:val="single" w:color="auto" w:sz="4" w:space="0"/>
            </w:tcBorders>
            <w:vAlign w:val="center"/>
          </w:tcPr>
          <w:p>
            <w:pPr>
              <w:pStyle w:val="51"/>
              <w:numPr>
                <w:ilvl w:val="0"/>
                <w:numId w:val="10"/>
              </w:numPr>
              <w:spacing w:line="312" w:lineRule="auto"/>
              <w:rPr>
                <w:rFonts w:ascii="宋体" w:hAnsi="宋体" w:cs="宋体"/>
                <w:color w:val="000000"/>
                <w:kern w:val="0"/>
                <w:szCs w:val="21"/>
              </w:rPr>
            </w:pPr>
            <w:r>
              <w:rPr>
                <w:rFonts w:hint="eastAsia" w:ascii="宋体" w:hAnsi="宋体" w:cs="宋体"/>
                <w:color w:val="000000"/>
                <w:kern w:val="0"/>
                <w:szCs w:val="21"/>
              </w:rPr>
              <w:t>开发教师角色后台管理模块中需要导出数据的地方实现将数据导出为.xlsx文件；</w:t>
            </w:r>
          </w:p>
          <w:p>
            <w:pPr>
              <w:pStyle w:val="51"/>
              <w:numPr>
                <w:ilvl w:val="0"/>
                <w:numId w:val="10"/>
              </w:numPr>
              <w:spacing w:line="312" w:lineRule="auto"/>
              <w:rPr>
                <w:rFonts w:ascii="宋体" w:hAnsi="宋体" w:cs="宋体"/>
                <w:color w:val="000000"/>
                <w:kern w:val="0"/>
                <w:szCs w:val="21"/>
              </w:rPr>
            </w:pPr>
            <w:r>
              <w:rPr>
                <w:rFonts w:hint="eastAsia" w:ascii="宋体" w:hAnsi="宋体" w:cs="宋体"/>
                <w:color w:val="000000"/>
                <w:kern w:val="0"/>
                <w:szCs w:val="21"/>
              </w:rPr>
              <w:t>系统管理员角色后台管理模块中需要导出数据的地方实现将数据导出为.xlsx文件；</w:t>
            </w:r>
          </w:p>
          <w:p>
            <w:pPr>
              <w:pStyle w:val="51"/>
              <w:numPr>
                <w:ilvl w:val="0"/>
                <w:numId w:val="10"/>
              </w:numPr>
              <w:spacing w:line="312" w:lineRule="auto"/>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color w:val="000000"/>
                <w:kern w:val="0"/>
                <w:szCs w:val="21"/>
              </w:rPr>
              <w:t>9</w:t>
            </w:r>
          </w:p>
        </w:tc>
        <w:tc>
          <w:tcPr>
            <w:tcW w:w="1245"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szCs w:val="21"/>
              </w:rPr>
              <w:t>授课手册编制模块</w:t>
            </w:r>
          </w:p>
        </w:tc>
        <w:tc>
          <w:tcPr>
            <w:tcW w:w="6300" w:type="dxa"/>
            <w:tcBorders>
              <w:top w:val="single" w:color="auto" w:sz="4" w:space="0"/>
              <w:left w:val="single" w:color="auto" w:sz="4" w:space="0"/>
              <w:bottom w:val="single" w:color="auto" w:sz="4" w:space="0"/>
              <w:right w:val="single" w:color="auto" w:sz="4" w:space="0"/>
            </w:tcBorders>
            <w:vAlign w:val="center"/>
          </w:tcPr>
          <w:p>
            <w:pPr>
              <w:pStyle w:val="51"/>
              <w:numPr>
                <w:ilvl w:val="0"/>
                <w:numId w:val="11"/>
              </w:numPr>
              <w:spacing w:line="312" w:lineRule="auto"/>
              <w:rPr>
                <w:rFonts w:ascii="宋体" w:hAnsi="宋体" w:cs="宋体"/>
                <w:color w:val="000000"/>
                <w:kern w:val="0"/>
                <w:szCs w:val="21"/>
              </w:rPr>
            </w:pPr>
            <w:r>
              <w:rPr>
                <w:rFonts w:hint="eastAsia" w:ascii="宋体" w:hAnsi="宋体" w:cs="宋体"/>
                <w:color w:val="000000"/>
                <w:kern w:val="0"/>
                <w:szCs w:val="21"/>
              </w:rPr>
              <w:t>开发创建、修改、删除授课手册功能；</w:t>
            </w:r>
          </w:p>
          <w:p>
            <w:pPr>
              <w:pStyle w:val="51"/>
              <w:numPr>
                <w:ilvl w:val="0"/>
                <w:numId w:val="11"/>
              </w:numPr>
              <w:spacing w:line="312" w:lineRule="auto"/>
              <w:rPr>
                <w:rFonts w:ascii="宋体" w:hAnsi="宋体" w:cs="宋体"/>
                <w:color w:val="000000"/>
                <w:kern w:val="0"/>
                <w:szCs w:val="21"/>
              </w:rPr>
            </w:pPr>
            <w:r>
              <w:rPr>
                <w:rFonts w:hint="eastAsia" w:ascii="宋体" w:hAnsi="宋体" w:cs="宋体"/>
                <w:color w:val="000000"/>
                <w:kern w:val="0"/>
                <w:szCs w:val="21"/>
              </w:rPr>
              <w:t>开发授课计划编制、导出功能；</w:t>
            </w:r>
          </w:p>
          <w:p>
            <w:pPr>
              <w:pStyle w:val="51"/>
              <w:numPr>
                <w:ilvl w:val="0"/>
                <w:numId w:val="11"/>
              </w:numPr>
              <w:spacing w:line="312" w:lineRule="auto"/>
              <w:rPr>
                <w:rFonts w:ascii="宋体" w:hAnsi="宋体" w:cs="宋体"/>
                <w:color w:val="000000"/>
                <w:kern w:val="0"/>
                <w:szCs w:val="21"/>
              </w:rPr>
            </w:pPr>
            <w:r>
              <w:rPr>
                <w:rFonts w:hint="eastAsia" w:ascii="宋体" w:hAnsi="宋体" w:cs="宋体"/>
                <w:color w:val="000000"/>
                <w:kern w:val="0"/>
                <w:szCs w:val="21"/>
              </w:rPr>
              <w:t>针对以上功能开发的模块代码可完全集成到学校现有的“教学过程支撑系统”中。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tcPr>
          <w:p>
            <w:pPr>
              <w:pStyle w:val="51"/>
              <w:spacing w:line="312"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1245"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r>
              <w:rPr>
                <w:rFonts w:hint="eastAsia" w:ascii="宋体" w:hAnsi="宋体" w:cs="宋体"/>
                <w:szCs w:val="21"/>
              </w:rPr>
              <w:t>系统模块权限优化与实现</w:t>
            </w:r>
          </w:p>
        </w:tc>
        <w:tc>
          <w:tcPr>
            <w:tcW w:w="6300" w:type="dxa"/>
            <w:tcBorders>
              <w:top w:val="single" w:color="auto" w:sz="4" w:space="0"/>
              <w:left w:val="single" w:color="auto" w:sz="4" w:space="0"/>
              <w:bottom w:val="single" w:color="auto" w:sz="4" w:space="0"/>
              <w:right w:val="single" w:color="auto" w:sz="4" w:space="0"/>
            </w:tcBorders>
            <w:vAlign w:val="center"/>
          </w:tcPr>
          <w:p>
            <w:pPr>
              <w:pStyle w:val="51"/>
              <w:numPr>
                <w:ilvl w:val="0"/>
                <w:numId w:val="12"/>
              </w:numPr>
              <w:spacing w:line="312" w:lineRule="auto"/>
              <w:rPr>
                <w:rFonts w:ascii="宋体" w:hAnsi="宋体" w:cs="宋体"/>
                <w:color w:val="000000"/>
                <w:kern w:val="0"/>
                <w:szCs w:val="21"/>
              </w:rPr>
            </w:pPr>
            <w:r>
              <w:rPr>
                <w:rFonts w:hint="eastAsia" w:ascii="宋体" w:hAnsi="宋体" w:cs="宋体"/>
                <w:color w:val="000000"/>
                <w:kern w:val="0"/>
                <w:szCs w:val="21"/>
              </w:rPr>
              <w:t>结合学校对教师教学分层管理的实际情况设计不用角色，不同角色具备不同的系统使用权限；</w:t>
            </w:r>
          </w:p>
          <w:p>
            <w:pPr>
              <w:pStyle w:val="51"/>
              <w:numPr>
                <w:ilvl w:val="0"/>
                <w:numId w:val="12"/>
              </w:numPr>
              <w:spacing w:line="312" w:lineRule="auto"/>
              <w:rPr>
                <w:rFonts w:ascii="宋体" w:hAnsi="宋体" w:cs="宋体"/>
                <w:color w:val="000000"/>
                <w:kern w:val="0"/>
                <w:szCs w:val="21"/>
              </w:rPr>
            </w:pPr>
            <w:r>
              <w:rPr>
                <w:rFonts w:hint="eastAsia" w:ascii="宋体" w:hAnsi="宋体" w:cs="宋体"/>
                <w:color w:val="000000"/>
                <w:kern w:val="0"/>
                <w:szCs w:val="21"/>
              </w:rPr>
              <w:t>通过技术手段，确保不同角色用户账号登录系统后操作的功能模块不同，并将权限优化后的策略集成到学校现有的“教学过程支撑系统”中。</w:t>
            </w:r>
          </w:p>
        </w:tc>
        <w:tc>
          <w:tcPr>
            <w:tcW w:w="6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69" w:type="dxa"/>
            <w:tcBorders>
              <w:top w:val="single" w:color="auto" w:sz="4" w:space="0"/>
              <w:left w:val="single" w:color="auto" w:sz="4" w:space="0"/>
              <w:bottom w:val="single" w:color="auto" w:sz="4" w:space="0"/>
              <w:right w:val="single" w:color="auto" w:sz="4" w:space="0"/>
            </w:tcBorders>
            <w:vAlign w:val="center"/>
          </w:tcPr>
          <w:p>
            <w:pPr>
              <w:pStyle w:val="51"/>
              <w:spacing w:line="312"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15" w:type="dxa"/>
            <w:gridSpan w:val="6"/>
            <w:tcBorders>
              <w:top w:val="single" w:color="auto" w:sz="4" w:space="0"/>
              <w:left w:val="single" w:color="auto" w:sz="4" w:space="0"/>
              <w:bottom w:val="single" w:color="auto" w:sz="4" w:space="0"/>
              <w:right w:val="single" w:color="auto" w:sz="4" w:space="0"/>
            </w:tcBorders>
          </w:tcPr>
          <w:p>
            <w:pPr>
              <w:widowControl/>
              <w:spacing w:line="312" w:lineRule="auto"/>
              <w:rPr>
                <w:rFonts w:ascii="宋体" w:hAnsi="宋体" w:cs="宋体"/>
                <w:b/>
                <w:color w:val="000000"/>
                <w:szCs w:val="21"/>
              </w:rPr>
            </w:pPr>
            <w:r>
              <w:rPr>
                <w:rFonts w:hint="eastAsia" w:ascii="宋体" w:hAnsi="宋体" w:cs="宋体"/>
                <w:b/>
                <w:color w:val="000000"/>
                <w:szCs w:val="21"/>
              </w:rPr>
              <w:t>说明：投标人的响应文件必须标明所投货物的品牌与参数，保证原厂正品供货，提供相关资料等。</w:t>
            </w:r>
          </w:p>
          <w:p>
            <w:pPr>
              <w:widowControl/>
              <w:spacing w:line="312" w:lineRule="auto"/>
              <w:jc w:val="left"/>
              <w:rPr>
                <w:rFonts w:ascii="宋体" w:hAnsi="宋体" w:cs="宋体"/>
                <w:b/>
                <w:color w:val="000000"/>
                <w:szCs w:val="21"/>
              </w:rPr>
            </w:pPr>
            <w:r>
              <w:rPr>
                <w:rFonts w:hint="eastAsia" w:ascii="宋体" w:hAnsi="宋体" w:cs="宋体"/>
                <w:b/>
                <w:color w:val="000000"/>
                <w:szCs w:val="21"/>
              </w:rPr>
              <w:t>注：1、为确保与学校现有的“教学过程支撑系统”兼容，教学过程支撑系统功能模块的开发必须采用“HTML5+CSS3+jQuery+Bootstrap 4.0+ASP.NET Core2.1(C#)+SQL Server 2016”的技术栈；</w:t>
            </w:r>
          </w:p>
          <w:p>
            <w:pPr>
              <w:widowControl/>
              <w:spacing w:line="312" w:lineRule="auto"/>
              <w:ind w:firstLine="422" w:firstLineChars="200"/>
              <w:rPr>
                <w:rFonts w:ascii="宋体" w:hAnsi="宋体" w:cs="宋体"/>
                <w:b/>
                <w:color w:val="000000"/>
                <w:szCs w:val="21"/>
              </w:rPr>
            </w:pPr>
            <w:r>
              <w:rPr>
                <w:rFonts w:ascii="宋体" w:hAnsi="宋体" w:cs="宋体"/>
                <w:b/>
                <w:color w:val="000000"/>
                <w:szCs w:val="21"/>
              </w:rPr>
              <w:t>2、本项目技术参数中要求提供证明资料（例如检测报告、检验报告</w:t>
            </w:r>
            <w:r>
              <w:rPr>
                <w:rFonts w:hint="eastAsia" w:ascii="宋体" w:hAnsi="宋体" w:cs="宋体"/>
                <w:b/>
                <w:color w:val="000000"/>
                <w:szCs w:val="21"/>
              </w:rPr>
              <w:t>、</w:t>
            </w:r>
            <w:r>
              <w:rPr>
                <w:rFonts w:ascii="宋体" w:hAnsi="宋体" w:cs="宋体"/>
                <w:b/>
                <w:szCs w:val="21"/>
              </w:rPr>
              <w:t>节能、环保认证</w:t>
            </w:r>
            <w:r>
              <w:rPr>
                <w:rFonts w:hint="eastAsia" w:ascii="宋体" w:hAnsi="宋体" w:cs="宋体"/>
                <w:b/>
                <w:color w:val="000000"/>
                <w:szCs w:val="21"/>
              </w:rPr>
              <w:t>、截图、</w:t>
            </w:r>
            <w:r>
              <w:rPr>
                <w:rFonts w:hint="eastAsia" w:ascii="宋体" w:hAnsi="宋体" w:cs="宋体"/>
                <w:b/>
                <w:szCs w:val="21"/>
              </w:rPr>
              <w:t>软件著作权登记证书</w:t>
            </w:r>
            <w:r>
              <w:rPr>
                <w:rFonts w:ascii="宋体" w:hAnsi="宋体" w:cs="宋体"/>
                <w:b/>
                <w:color w:val="000000"/>
                <w:szCs w:val="21"/>
              </w:rPr>
              <w:t>等）均在成交通知书发出后7个工作日内提供，若成交人未在</w:t>
            </w:r>
            <w:r>
              <w:rPr>
                <w:rFonts w:hint="eastAsia" w:ascii="宋体" w:hAnsi="宋体" w:cs="宋体"/>
                <w:b/>
                <w:color w:val="000000"/>
                <w:szCs w:val="21"/>
              </w:rPr>
              <w:t>谈判文件</w:t>
            </w:r>
            <w:r>
              <w:rPr>
                <w:rFonts w:ascii="宋体" w:hAnsi="宋体" w:cs="宋体"/>
                <w:b/>
                <w:color w:val="000000"/>
                <w:szCs w:val="21"/>
              </w:rPr>
              <w:t>要求的期限内提供</w:t>
            </w:r>
            <w:r>
              <w:rPr>
                <w:rFonts w:hint="eastAsia" w:ascii="宋体" w:hAnsi="宋体" w:cs="宋体"/>
                <w:b/>
                <w:color w:val="000000"/>
                <w:szCs w:val="21"/>
              </w:rPr>
              <w:t>谈判文件</w:t>
            </w:r>
            <w:r>
              <w:rPr>
                <w:rFonts w:ascii="宋体" w:hAnsi="宋体" w:cs="宋体"/>
                <w:b/>
                <w:color w:val="000000"/>
                <w:szCs w:val="21"/>
              </w:rPr>
              <w:t>中要求的证明资料或成交人提供的证明资料不能完全符合</w:t>
            </w:r>
            <w:r>
              <w:rPr>
                <w:rFonts w:hint="eastAsia" w:ascii="宋体" w:hAnsi="宋体" w:cs="宋体"/>
                <w:b/>
                <w:color w:val="000000"/>
                <w:szCs w:val="21"/>
              </w:rPr>
              <w:t>谈判文件</w:t>
            </w:r>
            <w:r>
              <w:rPr>
                <w:rFonts w:ascii="宋体" w:hAnsi="宋体" w:cs="宋体"/>
                <w:b/>
                <w:color w:val="000000"/>
                <w:szCs w:val="21"/>
              </w:rPr>
              <w:t>要求，则视为虚假响应。</w:t>
            </w:r>
          </w:p>
          <w:p>
            <w:pPr>
              <w:widowControl/>
              <w:spacing w:line="312" w:lineRule="auto"/>
              <w:ind w:firstLine="422" w:firstLineChars="200"/>
              <w:rPr>
                <w:rFonts w:ascii="宋体" w:hAnsi="宋体" w:cs="宋体"/>
                <w:b/>
                <w:color w:val="000000"/>
                <w:szCs w:val="21"/>
              </w:rPr>
            </w:pPr>
            <w:r>
              <w:rPr>
                <w:rFonts w:hint="eastAsia" w:ascii="宋体" w:hAnsi="宋体" w:cs="宋体"/>
                <w:b/>
                <w:color w:val="000000"/>
                <w:szCs w:val="21"/>
              </w:rPr>
              <w:t>本次采购最高限价：人民币壹拾壹万元整（￥110000.00元）</w:t>
            </w:r>
          </w:p>
        </w:tc>
      </w:tr>
    </w:tbl>
    <w:p>
      <w:pPr>
        <w:pStyle w:val="5"/>
        <w:rPr>
          <w:rFonts w:hAnsi="宋体" w:cs="宋体"/>
          <w:color w:val="000000"/>
        </w:rPr>
      </w:pPr>
      <w:bookmarkStart w:id="77" w:name="_Toc54938482"/>
      <w:bookmarkStart w:id="78" w:name="_Toc4579"/>
    </w:p>
    <w:p>
      <w:pPr>
        <w:pStyle w:val="5"/>
        <w:ind w:firstLine="472" w:firstLineChars="196"/>
        <w:rPr>
          <w:rFonts w:hAnsi="宋体" w:cs="宋体"/>
          <w:color w:val="000000"/>
        </w:rPr>
      </w:pPr>
      <w:r>
        <w:rPr>
          <w:rFonts w:hint="eastAsia" w:hAnsi="宋体" w:cs="宋体"/>
          <w:color w:val="000000"/>
        </w:rPr>
        <w:t>二、人员培训要求</w:t>
      </w:r>
      <w:bookmarkEnd w:id="77"/>
      <w:bookmarkEnd w:id="78"/>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货物安装、调试、验收合格后，成交人应对采购人的相关人员进行免费现场培训。培训内容包括基本操作、保养维修、常见故障及解决办法等。</w:t>
      </w:r>
    </w:p>
    <w:p>
      <w:pPr>
        <w:pStyle w:val="5"/>
        <w:ind w:firstLine="472" w:firstLineChars="196"/>
        <w:rPr>
          <w:rFonts w:hAnsi="宋体" w:cs="宋体"/>
          <w:color w:val="000000"/>
        </w:rPr>
      </w:pPr>
      <w:bookmarkStart w:id="79" w:name="_Toc54938483"/>
      <w:bookmarkStart w:id="80" w:name="_Toc21193"/>
      <w:r>
        <w:rPr>
          <w:rFonts w:hint="eastAsia" w:hAnsi="宋体" w:cs="宋体"/>
          <w:color w:val="000000"/>
        </w:rPr>
        <w:t>三、货物质量及售后服务要求</w:t>
      </w:r>
      <w:bookmarkEnd w:id="79"/>
      <w:bookmarkEnd w:id="80"/>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ind w:firstLine="472" w:firstLineChars="196"/>
        <w:rPr>
          <w:rFonts w:hAnsi="宋体" w:cs="宋体"/>
          <w:color w:val="000000"/>
        </w:rPr>
      </w:pPr>
      <w:bookmarkStart w:id="81" w:name="_Toc23093"/>
      <w:bookmarkStart w:id="82" w:name="_Toc54938484"/>
      <w:r>
        <w:rPr>
          <w:rFonts w:hint="eastAsia" w:hAnsi="宋体" w:cs="宋体"/>
          <w:color w:val="000000"/>
        </w:rPr>
        <w:t>四、验收</w:t>
      </w:r>
      <w:bookmarkEnd w:id="81"/>
      <w:bookmarkEnd w:id="82"/>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成交人和采购人双方共同实施验收工作，结果和验收报告经双方确认后生效。</w:t>
      </w:r>
    </w:p>
    <w:p>
      <w:pPr>
        <w:widowControl/>
        <w:jc w:val="left"/>
        <w:rPr>
          <w:rFonts w:ascii="宋体" w:hAnsi="宋体" w:cs="宋体"/>
          <w:szCs w:val="21"/>
        </w:rPr>
      </w:pPr>
      <w:r>
        <w:rPr>
          <w:rFonts w:ascii="宋体" w:hAnsi="宋体" w:cs="宋体"/>
          <w:szCs w:val="21"/>
        </w:rPr>
        <w:br w:type="page"/>
      </w:r>
    </w:p>
    <w:p>
      <w:pPr>
        <w:pStyle w:val="2"/>
        <w:rPr>
          <w:rFonts w:ascii="宋体" w:hAnsi="宋体" w:cs="宋体"/>
        </w:rPr>
      </w:pPr>
      <w:bookmarkStart w:id="83" w:name="_Toc54939199"/>
      <w:bookmarkStart w:id="84" w:name="_Toc7241"/>
      <w:r>
        <w:rPr>
          <w:rFonts w:hint="eastAsia" w:ascii="宋体" w:hAnsi="宋体" w:cs="宋体"/>
        </w:rPr>
        <w:t>第四章  合同主要条款</w:t>
      </w:r>
      <w:bookmarkEnd w:id="83"/>
      <w:bookmarkEnd w:id="84"/>
    </w:p>
    <w:p>
      <w:pPr>
        <w:tabs>
          <w:tab w:val="left" w:pos="3640"/>
        </w:tabs>
        <w:autoSpaceDE w:val="0"/>
        <w:autoSpaceDN w:val="0"/>
        <w:spacing w:line="360" w:lineRule="auto"/>
        <w:rPr>
          <w:rFonts w:ascii="宋体" w:hAnsi="宋体" w:cs="宋体"/>
          <w:color w:val="000000"/>
          <w:szCs w:val="21"/>
          <w:u w:val="single"/>
        </w:rPr>
      </w:pPr>
      <w:bookmarkStart w:id="85" w:name="_Toc26873"/>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spacing w:line="360" w:lineRule="auto"/>
        <w:rPr>
          <w:rFonts w:ascii="宋体" w:hAnsi="宋体"/>
          <w:spacing w:val="8"/>
          <w:szCs w:val="21"/>
          <w:u w:val="single"/>
        </w:rPr>
      </w:pPr>
    </w:p>
    <w:p>
      <w:pPr>
        <w:tabs>
          <w:tab w:val="left" w:pos="3640"/>
        </w:tabs>
        <w:autoSpaceDE w:val="0"/>
        <w:autoSpaceDN w:val="0"/>
        <w:spacing w:line="360" w:lineRule="auto"/>
        <w:rPr>
          <w:rFonts w:ascii="宋体" w:hAnsi="宋体" w:cs="宋体"/>
          <w:szCs w:val="21"/>
        </w:rPr>
      </w:pP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买  方                          卖   方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采购人（盖章）：</w:t>
      </w:r>
      <w:r>
        <w:rPr>
          <w:rFonts w:hint="eastAsia" w:ascii="宋体" w:hAnsi="宋体" w:cs="宋体"/>
          <w:szCs w:val="21"/>
          <w:u w:val="single"/>
        </w:rPr>
        <w:t xml:space="preserve">          </w:t>
      </w:r>
      <w:r>
        <w:rPr>
          <w:rFonts w:hint="eastAsia" w:ascii="宋体" w:hAnsi="宋体" w:cs="宋体"/>
          <w:szCs w:val="21"/>
        </w:rPr>
        <w:t xml:space="preserve">      成交人（盖章）：</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法人代表：</w:t>
      </w:r>
      <w:r>
        <w:rPr>
          <w:rFonts w:hint="eastAsia" w:ascii="宋体" w:hAnsi="宋体" w:cs="宋体"/>
          <w:szCs w:val="21"/>
          <w:u w:val="single"/>
        </w:rPr>
        <w:t xml:space="preserve">                </w:t>
      </w:r>
      <w:r>
        <w:rPr>
          <w:rFonts w:hint="eastAsia" w:ascii="宋体" w:hAnsi="宋体" w:cs="宋体"/>
          <w:szCs w:val="21"/>
        </w:rPr>
        <w:t xml:space="preserve">      法人代表：</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联系人：</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地址：</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               年   月    日                   年   月    日</w:t>
      </w:r>
    </w:p>
    <w:p>
      <w:pPr>
        <w:widowControl/>
        <w:jc w:val="left"/>
        <w:rPr>
          <w:rFonts w:ascii="宋体" w:hAnsi="宋体" w:cs="宋体"/>
          <w:szCs w:val="21"/>
        </w:rPr>
      </w:pPr>
      <w:r>
        <w:rPr>
          <w:rFonts w:ascii="宋体" w:hAnsi="宋体" w:cs="宋体"/>
          <w:szCs w:val="21"/>
        </w:rPr>
        <w:br w:type="page"/>
      </w:r>
    </w:p>
    <w:p>
      <w:pPr>
        <w:pStyle w:val="2"/>
        <w:rPr>
          <w:rFonts w:ascii="宋体" w:hAnsi="宋体" w:cs="宋体"/>
        </w:rPr>
      </w:pPr>
      <w:bookmarkStart w:id="86" w:name="_Toc54939200"/>
      <w:r>
        <w:rPr>
          <w:rFonts w:hint="eastAsia" w:ascii="宋体" w:hAnsi="宋体" w:cs="宋体"/>
        </w:rPr>
        <w:t>第五章   谈判响应文件格式</w:t>
      </w:r>
      <w:bookmarkEnd w:id="85"/>
      <w:bookmarkEnd w:id="86"/>
    </w:p>
    <w:p>
      <w:pPr>
        <w:spacing w:line="360" w:lineRule="auto"/>
        <w:jc w:val="center"/>
        <w:rPr>
          <w:rFonts w:ascii="宋体" w:hAnsi="宋体" w:cs="宋体"/>
          <w:b/>
          <w:spacing w:val="20"/>
          <w:sz w:val="36"/>
          <w:szCs w:val="36"/>
          <w:u w:val="single"/>
        </w:rPr>
      </w:pPr>
    </w:p>
    <w:p>
      <w:pPr>
        <w:spacing w:line="360" w:lineRule="auto"/>
        <w:jc w:val="center"/>
        <w:rPr>
          <w:rFonts w:ascii="宋体" w:hAnsi="宋体" w:cs="宋体"/>
          <w:b/>
          <w:spacing w:val="20"/>
          <w:sz w:val="36"/>
          <w:szCs w:val="36"/>
        </w:rPr>
      </w:pPr>
      <w:r>
        <w:rPr>
          <w:rFonts w:hint="eastAsia" w:ascii="宋体" w:hAnsi="宋体" w:cs="宋体"/>
          <w:b/>
          <w:spacing w:val="20"/>
          <w:sz w:val="36"/>
          <w:szCs w:val="36"/>
          <w:u w:val="single"/>
        </w:rPr>
        <w:t xml:space="preserve">                              </w:t>
      </w:r>
      <w:r>
        <w:rPr>
          <w:rFonts w:hint="eastAsia" w:ascii="宋体" w:hAnsi="宋体" w:cs="宋体"/>
          <w:b/>
          <w:spacing w:val="20"/>
          <w:sz w:val="36"/>
          <w:szCs w:val="36"/>
        </w:rPr>
        <w:t>采购</w:t>
      </w:r>
    </w:p>
    <w:p>
      <w:pPr>
        <w:spacing w:line="360" w:lineRule="auto"/>
        <w:rPr>
          <w:rFonts w:ascii="宋体" w:hAnsi="宋体" w:cs="宋体"/>
          <w:sz w:val="24"/>
        </w:rPr>
      </w:pPr>
    </w:p>
    <w:p>
      <w:pPr>
        <w:spacing w:line="360" w:lineRule="auto"/>
        <w:rPr>
          <w:rFonts w:ascii="宋体" w:hAnsi="宋体" w:cs="宋体"/>
          <w:sz w:val="24"/>
        </w:rPr>
      </w:pPr>
    </w:p>
    <w:p>
      <w:pPr>
        <w:spacing w:line="800" w:lineRule="exact"/>
        <w:jc w:val="center"/>
        <w:rPr>
          <w:rFonts w:ascii="宋体" w:hAnsi="宋体" w:cs="宋体"/>
          <w:b/>
          <w:sz w:val="72"/>
          <w:szCs w:val="72"/>
        </w:rPr>
      </w:pPr>
      <w:r>
        <w:rPr>
          <w:rFonts w:hint="eastAsia" w:ascii="宋体" w:hAnsi="宋体" w:cs="宋体"/>
          <w:b/>
          <w:sz w:val="72"/>
          <w:szCs w:val="72"/>
        </w:rPr>
        <w:t>谈</w:t>
      </w:r>
    </w:p>
    <w:p>
      <w:pPr>
        <w:spacing w:line="800" w:lineRule="exact"/>
        <w:jc w:val="center"/>
        <w:rPr>
          <w:rFonts w:ascii="宋体" w:hAnsi="宋体" w:cs="宋体"/>
          <w:b/>
          <w:sz w:val="72"/>
          <w:szCs w:val="72"/>
        </w:rPr>
      </w:pPr>
      <w:r>
        <w:rPr>
          <w:rFonts w:hint="eastAsia" w:ascii="宋体" w:hAnsi="宋体" w:cs="宋体"/>
          <w:b/>
          <w:sz w:val="72"/>
          <w:szCs w:val="72"/>
        </w:rPr>
        <w:t>判</w:t>
      </w:r>
    </w:p>
    <w:p>
      <w:pPr>
        <w:spacing w:line="800" w:lineRule="exact"/>
        <w:jc w:val="center"/>
        <w:rPr>
          <w:rFonts w:ascii="宋体" w:hAnsi="宋体" w:cs="宋体"/>
          <w:b/>
          <w:sz w:val="72"/>
          <w:szCs w:val="72"/>
        </w:rPr>
      </w:pPr>
      <w:r>
        <w:rPr>
          <w:rFonts w:hint="eastAsia" w:ascii="宋体" w:hAnsi="宋体" w:cs="宋体"/>
          <w:b/>
          <w:sz w:val="72"/>
          <w:szCs w:val="72"/>
        </w:rPr>
        <w:t>响</w:t>
      </w:r>
    </w:p>
    <w:p>
      <w:pPr>
        <w:spacing w:line="800" w:lineRule="exact"/>
        <w:jc w:val="center"/>
        <w:rPr>
          <w:rFonts w:ascii="宋体" w:hAnsi="宋体" w:cs="宋体"/>
          <w:b/>
          <w:sz w:val="72"/>
          <w:szCs w:val="72"/>
        </w:rPr>
      </w:pPr>
      <w:r>
        <w:rPr>
          <w:rFonts w:hint="eastAsia" w:ascii="宋体" w:hAnsi="宋体" w:cs="宋体"/>
          <w:b/>
          <w:sz w:val="72"/>
          <w:szCs w:val="72"/>
        </w:rPr>
        <w:t>应</w:t>
      </w:r>
    </w:p>
    <w:p>
      <w:pPr>
        <w:spacing w:line="800" w:lineRule="exact"/>
        <w:jc w:val="center"/>
        <w:rPr>
          <w:rFonts w:ascii="宋体" w:hAnsi="宋体" w:cs="宋体"/>
          <w:b/>
          <w:sz w:val="72"/>
          <w:szCs w:val="72"/>
        </w:rPr>
      </w:pPr>
      <w:r>
        <w:rPr>
          <w:rFonts w:hint="eastAsia" w:ascii="宋体" w:hAnsi="宋体" w:cs="宋体"/>
          <w:b/>
          <w:sz w:val="72"/>
          <w:szCs w:val="72"/>
        </w:rPr>
        <w:t>文</w:t>
      </w:r>
    </w:p>
    <w:p>
      <w:pPr>
        <w:spacing w:line="360" w:lineRule="auto"/>
        <w:jc w:val="center"/>
        <w:rPr>
          <w:rFonts w:ascii="宋体" w:hAnsi="宋体" w:cs="宋体"/>
          <w:sz w:val="24"/>
        </w:rPr>
      </w:pPr>
      <w:r>
        <w:rPr>
          <w:rFonts w:hint="eastAsia" w:ascii="宋体" w:hAnsi="宋体" w:cs="宋体"/>
          <w:b/>
          <w:sz w:val="72"/>
          <w:szCs w:val="72"/>
        </w:rPr>
        <w:t>件</w:t>
      </w: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采购人名称： </w:t>
      </w:r>
      <w:r>
        <w:rPr>
          <w:rFonts w:hint="eastAsia" w:ascii="宋体" w:hAnsi="宋体" w:cs="宋体"/>
          <w:b/>
          <w:sz w:val="30"/>
          <w:szCs w:val="30"/>
          <w:u w:val="single"/>
        </w:rPr>
        <w:t xml:space="preserve">                                             </w:t>
      </w:r>
    </w:p>
    <w:p>
      <w:pPr>
        <w:spacing w:line="360" w:lineRule="auto"/>
        <w:rPr>
          <w:rFonts w:ascii="宋体" w:hAnsi="宋体" w:cs="宋体"/>
          <w:b/>
          <w:sz w:val="30"/>
          <w:szCs w:val="30"/>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谈判响应人名称： </w:t>
      </w:r>
      <w:r>
        <w:rPr>
          <w:rFonts w:hint="eastAsia" w:ascii="宋体" w:hAnsi="宋体" w:cs="宋体"/>
          <w:b/>
          <w:sz w:val="30"/>
          <w:szCs w:val="30"/>
          <w:u w:val="single"/>
        </w:rPr>
        <w:t xml:space="preserve">                                   （盖 章）           </w:t>
      </w:r>
    </w:p>
    <w:p>
      <w:pPr>
        <w:spacing w:line="360" w:lineRule="auto"/>
        <w:rPr>
          <w:rFonts w:ascii="宋体" w:hAnsi="宋体" w:cs="宋体"/>
          <w:b/>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widowControl/>
        <w:jc w:val="left"/>
        <w:rPr>
          <w:rFonts w:ascii="宋体" w:hAnsi="宋体" w:cs="宋体"/>
          <w:b/>
          <w:sz w:val="30"/>
          <w:szCs w:val="30"/>
        </w:rPr>
      </w:pPr>
      <w:r>
        <w:rPr>
          <w:rFonts w:ascii="宋体" w:hAnsi="宋体" w:cs="宋体"/>
          <w:b/>
          <w:sz w:val="30"/>
          <w:szCs w:val="30"/>
        </w:rPr>
        <w:br w:type="page"/>
      </w:r>
    </w:p>
    <w:p>
      <w:pPr>
        <w:jc w:val="center"/>
        <w:rPr>
          <w:rFonts w:ascii="宋体" w:hAnsi="宋体" w:cs="宋体"/>
          <w:b/>
          <w:sz w:val="30"/>
          <w:szCs w:val="30"/>
        </w:rPr>
      </w:pPr>
      <w:r>
        <w:rPr>
          <w:rFonts w:hint="eastAsia" w:ascii="宋体" w:hAnsi="宋体" w:cs="宋体"/>
          <w:b/>
          <w:sz w:val="30"/>
          <w:szCs w:val="30"/>
        </w:rPr>
        <w:t>目 录</w:t>
      </w:r>
    </w:p>
    <w:p>
      <w:pPr>
        <w:spacing w:line="480" w:lineRule="auto"/>
        <w:ind w:firstLine="480" w:firstLineChars="200"/>
        <w:rPr>
          <w:rFonts w:ascii="宋体" w:hAnsi="宋体" w:cs="宋体"/>
          <w:sz w:val="24"/>
        </w:rPr>
      </w:pPr>
      <w:r>
        <w:rPr>
          <w:rFonts w:hint="eastAsia" w:ascii="宋体" w:hAnsi="宋体" w:cs="宋体"/>
          <w:sz w:val="24"/>
        </w:rPr>
        <w:t>一、谈判响应函</w:t>
      </w:r>
    </w:p>
    <w:p>
      <w:pPr>
        <w:spacing w:line="480" w:lineRule="auto"/>
        <w:ind w:firstLine="480" w:firstLineChars="200"/>
        <w:rPr>
          <w:rFonts w:ascii="宋体" w:hAnsi="宋体" w:cs="宋体"/>
          <w:sz w:val="24"/>
        </w:rPr>
      </w:pPr>
      <w:r>
        <w:rPr>
          <w:rFonts w:hint="eastAsia" w:ascii="宋体" w:hAnsi="宋体" w:cs="宋体"/>
          <w:sz w:val="24"/>
        </w:rPr>
        <w:t>二、货物报价表（首轮）、最终报价表</w:t>
      </w:r>
    </w:p>
    <w:p>
      <w:pPr>
        <w:spacing w:line="480" w:lineRule="auto"/>
        <w:ind w:firstLine="480" w:firstLineChars="200"/>
        <w:rPr>
          <w:rFonts w:ascii="宋体" w:hAnsi="宋体" w:cs="宋体"/>
          <w:sz w:val="24"/>
        </w:rPr>
      </w:pPr>
      <w:r>
        <w:rPr>
          <w:rFonts w:hint="eastAsia" w:ascii="宋体" w:hAnsi="宋体" w:cs="宋体"/>
          <w:sz w:val="24"/>
        </w:rPr>
        <w:t>三、技术参数响应表</w:t>
      </w:r>
    </w:p>
    <w:p>
      <w:pPr>
        <w:spacing w:line="480" w:lineRule="auto"/>
        <w:ind w:firstLine="480" w:firstLineChars="200"/>
        <w:rPr>
          <w:rFonts w:ascii="宋体" w:hAnsi="宋体" w:cs="宋体"/>
          <w:sz w:val="24"/>
        </w:rPr>
      </w:pPr>
      <w:r>
        <w:rPr>
          <w:rFonts w:hint="eastAsia" w:ascii="宋体" w:hAnsi="宋体" w:cs="宋体"/>
          <w:sz w:val="24"/>
        </w:rPr>
        <w:t>四、</w:t>
      </w:r>
      <w:r>
        <w:rPr>
          <w:rFonts w:hint="eastAsia" w:ascii="宋体" w:hAnsi="宋体" w:cs="宋体"/>
          <w:color w:val="000000"/>
          <w:sz w:val="24"/>
        </w:rPr>
        <w:t>供货及谈判响应技术方案</w:t>
      </w:r>
    </w:p>
    <w:p>
      <w:pPr>
        <w:spacing w:line="480" w:lineRule="auto"/>
        <w:ind w:firstLine="480" w:firstLineChars="200"/>
        <w:rPr>
          <w:rFonts w:ascii="宋体" w:hAnsi="宋体" w:cs="宋体"/>
          <w:sz w:val="24"/>
        </w:rPr>
      </w:pPr>
      <w:r>
        <w:rPr>
          <w:rFonts w:hint="eastAsia" w:ascii="宋体" w:hAnsi="宋体" w:cs="宋体"/>
          <w:sz w:val="24"/>
        </w:rPr>
        <w:t>五、诚信谈判响应承诺书</w:t>
      </w:r>
    </w:p>
    <w:p>
      <w:pPr>
        <w:spacing w:line="480" w:lineRule="auto"/>
        <w:ind w:firstLine="480" w:firstLineChars="200"/>
        <w:rPr>
          <w:rFonts w:ascii="宋体" w:hAnsi="宋体" w:cs="宋体"/>
          <w:sz w:val="24"/>
        </w:rPr>
      </w:pPr>
      <w:r>
        <w:rPr>
          <w:rFonts w:hint="eastAsia" w:ascii="宋体" w:hAnsi="宋体"/>
          <w:sz w:val="24"/>
        </w:rPr>
        <w:t>六、</w:t>
      </w:r>
      <w:r>
        <w:rPr>
          <w:rFonts w:hint="eastAsia" w:ascii="宋体" w:hAnsi="宋体" w:cs="宋体"/>
          <w:sz w:val="24"/>
        </w:rPr>
        <w:t>资格证明文件</w:t>
      </w:r>
    </w:p>
    <w:p>
      <w:pPr>
        <w:widowControl/>
        <w:jc w:val="left"/>
        <w:rPr>
          <w:rFonts w:ascii="宋体" w:hAnsi="宋体" w:cs="宋体"/>
          <w:sz w:val="24"/>
        </w:rPr>
      </w:pPr>
      <w:r>
        <w:rPr>
          <w:rFonts w:ascii="宋体" w:hAnsi="宋体" w:cs="宋体"/>
          <w:sz w:val="24"/>
        </w:rPr>
        <w:br w:type="page"/>
      </w:r>
    </w:p>
    <w:p>
      <w:pPr>
        <w:pStyle w:val="5"/>
        <w:jc w:val="center"/>
        <w:rPr>
          <w:rFonts w:hAnsi="宋体" w:cs="宋体"/>
        </w:rPr>
      </w:pPr>
      <w:bookmarkStart w:id="87" w:name="_Toc13905"/>
      <w:bookmarkStart w:id="88" w:name="_Toc54939201"/>
      <w:r>
        <w:rPr>
          <w:rFonts w:hint="eastAsia" w:hAnsi="宋体" w:cs="宋体"/>
        </w:rPr>
        <w:t>一、谈判响应函</w:t>
      </w:r>
      <w:bookmarkEnd w:id="87"/>
      <w:bookmarkEnd w:id="88"/>
    </w:p>
    <w:p>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安庆职业技术学院</w:t>
      </w:r>
    </w:p>
    <w:p>
      <w:pPr>
        <w:pStyle w:val="11"/>
        <w:tabs>
          <w:tab w:val="left" w:pos="5580"/>
        </w:tabs>
        <w:spacing w:line="360" w:lineRule="auto"/>
        <w:ind w:firstLine="420" w:firstLineChars="200"/>
        <w:rPr>
          <w:rFonts w:hAnsi="宋体" w:cs="宋体"/>
          <w:szCs w:val="21"/>
        </w:rPr>
      </w:pPr>
      <w:r>
        <w:rPr>
          <w:rFonts w:hint="eastAsia" w:hAnsi="宋体" w:cs="宋体"/>
          <w:szCs w:val="21"/>
        </w:rPr>
        <w:t>1、根据贵方竞争性谈判公告，我方决定参加贵方组织的</w:t>
      </w:r>
      <w:r>
        <w:rPr>
          <w:rFonts w:hint="eastAsia" w:hAnsi="宋体" w:cs="宋体"/>
          <w:szCs w:val="21"/>
          <w:u w:val="single"/>
        </w:rPr>
        <w:t xml:space="preserve"> 安庆职业技术学院教学过程支撑系统模块与设备采购</w:t>
      </w:r>
      <w:r>
        <w:rPr>
          <w:rFonts w:hint="eastAsia" w:hAnsi="宋体" w:cs="宋体"/>
          <w:szCs w:val="21"/>
        </w:rPr>
        <w:t>项目的采购活动。我方授权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全权处理本项目谈判响应的有关事宜。</w:t>
      </w:r>
    </w:p>
    <w:p>
      <w:pPr>
        <w:pStyle w:val="11"/>
        <w:tabs>
          <w:tab w:val="left" w:pos="5580"/>
        </w:tabs>
        <w:spacing w:line="360" w:lineRule="auto"/>
        <w:ind w:firstLine="420" w:firstLineChars="200"/>
        <w:rPr>
          <w:rFonts w:hAnsi="宋体" w:cs="宋体"/>
          <w:szCs w:val="21"/>
        </w:rPr>
      </w:pPr>
      <w:r>
        <w:rPr>
          <w:rFonts w:hint="eastAsia" w:hAnsi="宋体" w:cs="宋体"/>
          <w:szCs w:val="21"/>
        </w:rPr>
        <w:t>2、我方愿意按照竞争性谈判文件约定的各项要求，向采购人提供所需的服务，报价为人民币（大写）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pPr>
        <w:pStyle w:val="11"/>
        <w:tabs>
          <w:tab w:val="left" w:pos="5580"/>
        </w:tabs>
        <w:spacing w:line="360" w:lineRule="auto"/>
        <w:ind w:firstLine="420" w:firstLineChars="200"/>
        <w:rPr>
          <w:rFonts w:hAnsi="宋体" w:cs="宋体"/>
          <w:szCs w:val="21"/>
        </w:rPr>
      </w:pPr>
      <w:r>
        <w:rPr>
          <w:rFonts w:hint="eastAsia" w:hAnsi="宋体" w:cs="宋体"/>
          <w:szCs w:val="21"/>
        </w:rPr>
        <w:t>3、一旦我方成交，我方将严格履行合同约定的责任和义务，</w:t>
      </w:r>
      <w:r>
        <w:rPr>
          <w:rFonts w:hint="eastAsia" w:hAnsi="宋体"/>
          <w:szCs w:val="21"/>
        </w:rPr>
        <w:t>保证于合同签字生效后</w:t>
      </w:r>
      <w:r>
        <w:rPr>
          <w:rFonts w:hint="eastAsia" w:hAnsi="宋体"/>
          <w:szCs w:val="21"/>
          <w:u w:val="single"/>
        </w:rPr>
        <w:t xml:space="preserve">     </w:t>
      </w:r>
      <w:r>
        <w:rPr>
          <w:rFonts w:hint="eastAsia" w:hAnsi="宋体"/>
          <w:szCs w:val="21"/>
        </w:rPr>
        <w:t>日历天完成项目的交货、安装、调试，并交付采购人验收、使用。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6、我方完全理解贵方不一定将合同授予最低报价的谈判响应人。</w:t>
      </w: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570" w:firstLineChars="17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rPr>
          <w:rFonts w:ascii="宋体" w:hAnsi="宋体" w:cs="宋体"/>
          <w:sz w:val="24"/>
        </w:rPr>
      </w:pPr>
    </w:p>
    <w:p>
      <w:pPr>
        <w:pStyle w:val="5"/>
        <w:jc w:val="center"/>
        <w:rPr>
          <w:rFonts w:hAnsi="宋体" w:cs="宋体"/>
        </w:rPr>
      </w:pPr>
      <w:bookmarkStart w:id="89" w:name="_Toc12161"/>
      <w:bookmarkStart w:id="90" w:name="_Toc54939202"/>
      <w:bookmarkStart w:id="91" w:name="_Toc7098"/>
      <w:r>
        <w:rPr>
          <w:rFonts w:hint="eastAsia" w:hAnsi="宋体" w:cs="宋体"/>
        </w:rPr>
        <w:t>二、</w:t>
      </w:r>
      <w:bookmarkEnd w:id="89"/>
      <w:r>
        <w:rPr>
          <w:rFonts w:hint="eastAsia" w:hAnsi="宋体" w:cs="宋体"/>
        </w:rPr>
        <w:t>货物报价表(首轮)</w:t>
      </w:r>
      <w:bookmarkEnd w:id="90"/>
      <w:bookmarkEnd w:id="91"/>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kern w:val="0"/>
          <w:szCs w:val="21"/>
        </w:rPr>
        <w:t>CG-AZ-2021-007</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项目编号：安庆职业技术学院教学过程支撑系统模块与设备采购                                                         </w:t>
      </w:r>
    </w:p>
    <w:tbl>
      <w:tblPr>
        <w:tblStyle w:val="2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生产厂家、品牌、型号（如有）</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pStyle w:val="5"/>
        <w:jc w:val="center"/>
        <w:rPr>
          <w:rFonts w:hAnsi="宋体" w:cs="宋体"/>
          <w:u w:val="single"/>
        </w:rPr>
      </w:pPr>
      <w:bookmarkStart w:id="92" w:name="_Toc10635"/>
      <w:bookmarkStart w:id="93" w:name="_Toc54939203"/>
      <w:bookmarkStart w:id="94" w:name="_Toc15489"/>
      <w:r>
        <w:rPr>
          <w:rFonts w:hint="eastAsia" w:hAnsi="宋体" w:cs="宋体"/>
        </w:rPr>
        <w:t>最终报价表</w:t>
      </w:r>
      <w:bookmarkEnd w:id="92"/>
      <w:bookmarkEnd w:id="93"/>
      <w:bookmarkEnd w:id="94"/>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kern w:val="0"/>
          <w:szCs w:val="21"/>
        </w:rPr>
        <w:t>CG-AZ-2021-007</w:t>
      </w:r>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 xml:space="preserve">项目编号： 安庆职业技术学院教学过程支撑系统模块与设备采购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rPr>
            </w:pPr>
            <w:r>
              <w:rPr>
                <w:rFonts w:hint="eastAsia" w:ascii="宋体" w:hAnsi="宋体" w:cs="宋体"/>
                <w:color w:val="000000"/>
                <w:sz w:val="24"/>
              </w:rPr>
              <w:t>交货、安装、</w:t>
            </w:r>
          </w:p>
          <w:p>
            <w:pPr>
              <w:spacing w:line="400" w:lineRule="exact"/>
              <w:ind w:firstLine="120" w:firstLineChars="50"/>
              <w:jc w:val="center"/>
              <w:rPr>
                <w:rFonts w:ascii="宋体" w:hAnsi="宋体" w:cs="宋体"/>
                <w:sz w:val="24"/>
              </w:rPr>
            </w:pPr>
            <w:r>
              <w:rPr>
                <w:rFonts w:hint="eastAsia" w:ascii="宋体" w:hAnsi="宋体" w:cs="宋体"/>
                <w:color w:val="000000"/>
                <w:sz w:val="24"/>
              </w:rPr>
              <w:t>调试期</w:t>
            </w:r>
          </w:p>
        </w:tc>
        <w:tc>
          <w:tcPr>
            <w:tcW w:w="7507"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5"/>
        <w:jc w:val="center"/>
        <w:rPr>
          <w:rFonts w:hAnsi="宋体" w:cs="宋体"/>
        </w:rPr>
      </w:pPr>
      <w:bookmarkStart w:id="95" w:name="_Toc54939204"/>
      <w:bookmarkStart w:id="96" w:name="_Toc28153"/>
      <w:r>
        <w:rPr>
          <w:rFonts w:hint="eastAsia" w:hAnsi="宋体" w:cs="宋体"/>
        </w:rPr>
        <w:t>三、</w:t>
      </w:r>
      <w:bookmarkEnd w:id="95"/>
      <w:bookmarkEnd w:id="96"/>
      <w:r>
        <w:rPr>
          <w:rFonts w:hint="eastAsia" w:hAnsi="宋体" w:cs="宋体"/>
        </w:rPr>
        <w:t>技术参数响应表</w:t>
      </w:r>
    </w:p>
    <w:p>
      <w:pPr>
        <w:spacing w:line="360" w:lineRule="auto"/>
        <w:rPr>
          <w:rFonts w:ascii="宋体" w:hAnsi="宋体" w:cs="宋体"/>
          <w:b/>
          <w:szCs w:val="21"/>
        </w:rPr>
      </w:pPr>
      <w:r>
        <w:rPr>
          <w:rFonts w:hint="eastAsia" w:ascii="宋体" w:hAnsi="宋体" w:cs="宋体"/>
          <w:szCs w:val="21"/>
        </w:rPr>
        <w:t>项目名称： 安庆职业技术学院教学过程支撑系统模块与设备采购</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8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19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生产厂家、品牌、型号（如有）</w:t>
            </w:r>
          </w:p>
        </w:tc>
        <w:tc>
          <w:tcPr>
            <w:tcW w:w="18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155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szCs w:val="21"/>
        </w:rPr>
      </w:pPr>
    </w:p>
    <w:p>
      <w:pPr>
        <w:tabs>
          <w:tab w:val="left" w:pos="1815"/>
        </w:tabs>
        <w:spacing w:line="360" w:lineRule="auto"/>
        <w:rPr>
          <w:rFonts w:ascii="宋体" w:hAnsi="宋体" w:cs="宋体"/>
          <w:color w:val="000000"/>
          <w:szCs w:val="21"/>
        </w:rPr>
      </w:pPr>
      <w:r>
        <w:rPr>
          <w:rFonts w:hint="eastAsia" w:ascii="宋体" w:hAnsi="宋体" w:cs="宋体"/>
          <w:b/>
          <w:color w:val="000000"/>
          <w:szCs w:val="21"/>
        </w:rPr>
        <w:t>注：</w:t>
      </w:r>
      <w:r>
        <w:rPr>
          <w:rFonts w:hint="eastAsia" w:ascii="宋体" w:hAnsi="宋体" w:cs="宋体"/>
          <w:color w:val="000000"/>
          <w:szCs w:val="21"/>
        </w:rPr>
        <w:t>1、谈判响应人必须将自己所投货物真实、准确地填入以上表格中。</w:t>
      </w:r>
    </w:p>
    <w:p>
      <w:pPr>
        <w:pStyle w:val="53"/>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pStyle w:val="53"/>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3、</w:t>
      </w:r>
      <w:r>
        <w:rPr>
          <w:rFonts w:hint="eastAsia" w:ascii="宋体" w:hAnsi="宋体" w:cs="Arial"/>
          <w:b/>
          <w:szCs w:val="21"/>
        </w:rPr>
        <w:t>若谈判响应人</w:t>
      </w:r>
      <w:r>
        <w:rPr>
          <w:rFonts w:hint="eastAsia" w:ascii="宋体" w:hAnsi="宋体"/>
          <w:b/>
          <w:bCs/>
          <w:szCs w:val="21"/>
        </w:rPr>
        <w:t>所投货物为进口产品的，必须在表中明确列出所投进口产品的原产地。</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5"/>
        <w:jc w:val="center"/>
        <w:rPr>
          <w:rFonts w:hAnsi="宋体" w:cs="宋体"/>
          <w:color w:val="000000"/>
          <w:bdr w:val="single" w:color="auto" w:sz="4" w:space="0"/>
        </w:rPr>
      </w:pPr>
      <w:bookmarkStart w:id="97" w:name="_Toc2920"/>
      <w:bookmarkStart w:id="98" w:name="_Toc54939205"/>
      <w:bookmarkStart w:id="99" w:name="_Toc8668"/>
      <w:r>
        <w:rPr>
          <w:rFonts w:hint="eastAsia" w:hAnsi="宋体" w:cs="宋体"/>
        </w:rPr>
        <w:t>四、</w:t>
      </w:r>
      <w:bookmarkEnd w:id="97"/>
      <w:bookmarkEnd w:id="98"/>
      <w:bookmarkEnd w:id="99"/>
      <w:r>
        <w:rPr>
          <w:rFonts w:hint="eastAsia" w:hAnsi="宋体" w:cs="宋体"/>
          <w:color w:val="000000"/>
        </w:rPr>
        <w:t>供货及谈判响应技术方案</w:t>
      </w:r>
    </w:p>
    <w:p>
      <w:pPr>
        <w:spacing w:line="360" w:lineRule="auto"/>
        <w:rPr>
          <w:rFonts w:ascii="宋体" w:hAnsi="宋体" w:cs="宋体"/>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1、人员培训方案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2、质量保证及售后服务承诺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3、谈判响应人认为需要提供的其他内容</w:t>
      </w:r>
    </w:p>
    <w:p>
      <w:pPr>
        <w:spacing w:line="360" w:lineRule="auto"/>
        <w:ind w:firstLine="420" w:firstLineChars="200"/>
        <w:rPr>
          <w:rFonts w:ascii="宋体" w:hAnsi="宋体" w:cs="宋体"/>
          <w:szCs w:val="21"/>
        </w:rPr>
      </w:pP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pStyle w:val="5"/>
        <w:jc w:val="center"/>
        <w:rPr>
          <w:rFonts w:hAnsi="宋体" w:cs="宋体"/>
        </w:rPr>
      </w:pPr>
      <w:bookmarkStart w:id="100" w:name="_Toc25547"/>
      <w:bookmarkStart w:id="101" w:name="_Toc54939206"/>
      <w:r>
        <w:rPr>
          <w:rFonts w:hint="eastAsia" w:hAnsi="宋体" w:cs="宋体"/>
        </w:rPr>
        <w:t>五、诚信谈判响应承诺书</w:t>
      </w:r>
      <w:bookmarkEnd w:id="100"/>
      <w:bookmarkEnd w:id="101"/>
    </w:p>
    <w:p>
      <w:pPr>
        <w:rPr>
          <w:rFonts w:ascii="宋体" w:hAnsi="宋体" w:cs="宋体"/>
          <w:b/>
          <w:bCs/>
          <w:sz w:val="24"/>
        </w:rPr>
      </w:pPr>
    </w:p>
    <w:p>
      <w:pPr>
        <w:spacing w:line="440" w:lineRule="exact"/>
        <w:ind w:firstLine="422" w:firstLineChars="200"/>
        <w:rPr>
          <w:rFonts w:ascii="宋体" w:hAnsi="宋体" w:cs="宋体"/>
          <w:b/>
          <w:bCs/>
          <w:szCs w:val="21"/>
        </w:rPr>
      </w:pPr>
      <w:r>
        <w:rPr>
          <w:rFonts w:hint="eastAsia" w:ascii="宋体" w:hAnsi="宋体" w:cs="宋体"/>
          <w:b/>
          <w:bCs/>
          <w:szCs w:val="21"/>
        </w:rPr>
        <w:t>本人以企业法定代表人的身份郑重承诺：</w:t>
      </w:r>
    </w:p>
    <w:p>
      <w:pPr>
        <w:spacing w:line="440" w:lineRule="exact"/>
        <w:ind w:firstLine="422" w:firstLineChars="200"/>
        <w:rPr>
          <w:rFonts w:ascii="宋体" w:hAnsi="宋体" w:cs="宋体"/>
          <w:b/>
          <w:bCs/>
          <w:szCs w:val="21"/>
        </w:rPr>
      </w:pPr>
      <w:r>
        <w:rPr>
          <w:rFonts w:hint="eastAsia" w:ascii="宋体" w:hAnsi="宋体" w:cs="宋体"/>
          <w:b/>
          <w:bCs/>
          <w:szCs w:val="21"/>
        </w:rPr>
        <w:t>一、将遵循公开、公正和诚实信用的原则自愿参加</w:t>
      </w:r>
      <w:r>
        <w:rPr>
          <w:rFonts w:hint="eastAsia" w:ascii="宋体" w:hAnsi="宋体" w:cs="宋体"/>
          <w:b/>
          <w:bCs/>
          <w:szCs w:val="21"/>
          <w:u w:val="single"/>
        </w:rPr>
        <w:t xml:space="preserve">                </w:t>
      </w:r>
      <w:r>
        <w:rPr>
          <w:rFonts w:hint="eastAsia" w:ascii="宋体" w:hAnsi="宋体" w:cs="宋体"/>
          <w:b/>
          <w:bCs/>
          <w:szCs w:val="21"/>
        </w:rPr>
        <w:t>项目的竞争性谈判活动；</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二、所提供的一切材料都是真实、有效、合法的；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六、严格遵守开标现场纪律，服从监管人员管理；  </w:t>
      </w:r>
    </w:p>
    <w:p>
      <w:pPr>
        <w:spacing w:line="440" w:lineRule="exact"/>
        <w:ind w:firstLine="422" w:firstLineChars="200"/>
        <w:rPr>
          <w:rFonts w:ascii="宋体" w:hAnsi="宋体" w:cs="宋体"/>
          <w:b/>
          <w:bCs/>
          <w:szCs w:val="21"/>
        </w:rPr>
      </w:pPr>
      <w:r>
        <w:rPr>
          <w:rFonts w:hint="eastAsia" w:ascii="宋体" w:hAnsi="宋体" w:cs="宋体"/>
          <w:b/>
          <w:bCs/>
          <w:szCs w:val="21"/>
        </w:rPr>
        <w:t>七、保证成交后不转包，若有合法分包征得采购人同意；</w:t>
      </w:r>
    </w:p>
    <w:p>
      <w:pPr>
        <w:spacing w:line="440" w:lineRule="exact"/>
        <w:ind w:firstLine="422" w:firstLineChars="200"/>
        <w:rPr>
          <w:rFonts w:ascii="宋体" w:hAnsi="宋体" w:cs="宋体"/>
          <w:b/>
          <w:bCs/>
          <w:szCs w:val="21"/>
        </w:rPr>
      </w:pPr>
      <w:r>
        <w:rPr>
          <w:rFonts w:hint="eastAsia" w:ascii="宋体" w:hAnsi="宋体" w:cs="宋体"/>
          <w:b/>
          <w:bCs/>
          <w:szCs w:val="21"/>
        </w:rPr>
        <w:t>八、保证成交之后，按照谈判响应文件承诺提供货物、服务及派驻人员；</w:t>
      </w:r>
    </w:p>
    <w:p>
      <w:pPr>
        <w:spacing w:line="440" w:lineRule="exact"/>
        <w:ind w:firstLine="422" w:firstLineChars="200"/>
        <w:rPr>
          <w:rFonts w:ascii="宋体" w:hAnsi="宋体" w:cs="宋体"/>
          <w:b/>
          <w:bCs/>
          <w:szCs w:val="21"/>
        </w:rPr>
      </w:pPr>
      <w:r>
        <w:rPr>
          <w:rFonts w:hint="eastAsia" w:ascii="宋体" w:hAnsi="宋体" w:cs="宋体"/>
          <w:b/>
          <w:bCs/>
          <w:szCs w:val="21"/>
        </w:rPr>
        <w:t>九、保证企业及所属相关人员在本次谈判响应中无行贿等犯罪行为；</w:t>
      </w:r>
    </w:p>
    <w:p>
      <w:pPr>
        <w:spacing w:line="440" w:lineRule="exact"/>
        <w:ind w:firstLine="422" w:firstLineChars="200"/>
        <w:rPr>
          <w:rFonts w:ascii="宋体" w:hAnsi="宋体" w:cs="宋体"/>
          <w:b/>
          <w:bCs/>
          <w:szCs w:val="21"/>
        </w:rPr>
      </w:pPr>
      <w:r>
        <w:rPr>
          <w:rFonts w:hint="eastAsia" w:ascii="宋体" w:hAnsi="宋体" w:cs="宋体"/>
          <w:b/>
          <w:bCs/>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十一、不恶意投诉，对本公司提供的投诉线索的真实性负责。 </w:t>
      </w:r>
    </w:p>
    <w:p>
      <w:pPr>
        <w:spacing w:line="440" w:lineRule="exact"/>
        <w:ind w:firstLine="422" w:firstLineChars="200"/>
        <w:rPr>
          <w:rFonts w:ascii="宋体" w:hAnsi="宋体" w:cs="宋体"/>
          <w:b/>
          <w:bCs/>
          <w:szCs w:val="21"/>
        </w:rPr>
      </w:pPr>
      <w:r>
        <w:rPr>
          <w:rFonts w:hint="eastAsia" w:ascii="宋体" w:hAnsi="宋体" w:cs="宋体"/>
          <w:b/>
          <w:bCs/>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szCs w:val="21"/>
        </w:rPr>
      </w:pPr>
      <w:r>
        <w:rPr>
          <w:rFonts w:hint="eastAsia" w:ascii="宋体" w:hAnsi="宋体" w:cs="宋体"/>
          <w:b/>
          <w:bCs/>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szCs w:val="21"/>
        </w:rPr>
      </w:pPr>
      <w:r>
        <w:rPr>
          <w:rFonts w:hint="eastAsia" w:ascii="宋体" w:hAnsi="宋体" w:cs="宋体"/>
          <w:b/>
          <w:bCs/>
          <w:szCs w:val="21"/>
        </w:rPr>
        <w:t xml:space="preserve">  </w:t>
      </w:r>
    </w:p>
    <w:p>
      <w:pP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sz w:val="24"/>
        </w:rPr>
      </w:pPr>
      <w:r>
        <w:rPr>
          <w:rFonts w:hint="eastAsia" w:ascii="宋体" w:hAnsi="宋体" w:cs="宋体"/>
          <w:b/>
          <w:bCs/>
          <w:szCs w:val="21"/>
        </w:rPr>
        <w:t xml:space="preserve">                                               日期：_____年____月____日</w:t>
      </w:r>
      <w:bookmarkStart w:id="102" w:name="_Toc22272"/>
    </w:p>
    <w:p>
      <w:pPr>
        <w:widowControl/>
        <w:jc w:val="left"/>
        <w:rPr>
          <w:rFonts w:ascii="宋体" w:hAnsi="宋体" w:cs="宋体"/>
          <w:b/>
          <w:bCs/>
          <w:sz w:val="24"/>
        </w:rPr>
      </w:pPr>
      <w:r>
        <w:rPr>
          <w:rFonts w:ascii="宋体" w:hAnsi="宋体" w:cs="宋体"/>
          <w:b/>
          <w:bCs/>
          <w:sz w:val="24"/>
        </w:rPr>
        <w:br w:type="page"/>
      </w:r>
    </w:p>
    <w:p>
      <w:pPr>
        <w:pStyle w:val="5"/>
        <w:jc w:val="center"/>
        <w:rPr>
          <w:rFonts w:hAnsi="宋体" w:cs="宋体"/>
          <w:bdr w:val="single" w:color="auto" w:sz="4" w:space="0"/>
        </w:rPr>
      </w:pPr>
      <w:bookmarkStart w:id="103" w:name="_Toc54939209"/>
      <w:r>
        <w:rPr>
          <w:rFonts w:hint="eastAsia" w:hAnsi="宋体" w:cs="宋体"/>
        </w:rPr>
        <w:t>六、资格证明文件</w:t>
      </w:r>
      <w:bookmarkEnd w:id="102"/>
      <w:bookmarkEnd w:id="103"/>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13"/>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4、履行合同所必需的设备专业技术能力证明文件（由谈判响应人根据项目情况决定是否填写）；</w:t>
      </w:r>
    </w:p>
    <w:p>
      <w:pPr>
        <w:spacing w:line="360" w:lineRule="auto"/>
        <w:rPr>
          <w:rFonts w:ascii="宋体" w:hAnsi="宋体" w:cs="宋体"/>
          <w:szCs w:val="21"/>
        </w:rPr>
      </w:pPr>
      <w:r>
        <w:rPr>
          <w:rFonts w:hint="eastAsia" w:ascii="宋体" w:hAnsi="宋体" w:cs="宋体"/>
          <w:szCs w:val="21"/>
        </w:rPr>
        <w:t>（1）服务于本项目的专业设备一览表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（2）服务本项目人员一览表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szCs w:val="21"/>
              </w:rPr>
            </w:pPr>
            <w:r>
              <w:rPr>
                <w:rFonts w:hint="eastAsia" w:ascii="宋体" w:hAnsi="宋体" w:cs="宋体"/>
                <w:szCs w:val="21"/>
              </w:rPr>
              <w:t>其他</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bl>
    <w:p>
      <w:pPr>
        <w:spacing w:line="360" w:lineRule="auto"/>
        <w:ind w:firstLine="420" w:firstLineChars="200"/>
        <w:rPr>
          <w:rFonts w:ascii="宋体" w:hAnsi="宋体" w:cs="宋体"/>
          <w:bCs/>
          <w:kern w:val="0"/>
          <w:sz w:val="24"/>
          <w:szCs w:val="18"/>
        </w:rPr>
      </w:pPr>
      <w:r>
        <w:rPr>
          <w:rFonts w:hint="eastAsia" w:ascii="宋体" w:hAnsi="宋体" w:cs="宋体"/>
          <w:szCs w:val="21"/>
        </w:rPr>
        <w:t>5、本项目竞争性谈判文件中要求谈判响应人提供的其他资格条件证明材料。</w:t>
      </w:r>
    </w:p>
    <w:p>
      <w:pPr>
        <w:spacing w:line="360" w:lineRule="auto"/>
        <w:ind w:left="420" w:leftChars="200"/>
        <w:jc w:val="center"/>
        <w:rPr>
          <w:rFonts w:ascii="宋体" w:hAnsi="宋体" w:cs="宋体"/>
          <w:b/>
          <w:kern w:val="0"/>
          <w:sz w:val="24"/>
          <w:szCs w:val="18"/>
        </w:rPr>
      </w:pPr>
      <w:r>
        <w:rPr>
          <w:rFonts w:hint="eastAsia" w:ascii="宋体" w:hAnsi="宋体" w:cs="宋体"/>
          <w:bCs/>
          <w:kern w:val="0"/>
          <w:sz w:val="24"/>
          <w:szCs w:val="18"/>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kern w:val="0"/>
          <w:sz w:val="24"/>
          <w:szCs w:val="18"/>
        </w:rPr>
        <w:t xml:space="preserve">                             声明</w:t>
      </w:r>
    </w:p>
    <w:p>
      <w:pPr>
        <w:spacing w:line="360" w:lineRule="auto"/>
        <w:ind w:firstLine="420" w:firstLineChars="200"/>
        <w:rPr>
          <w:rFonts w:ascii="宋体" w:hAnsi="宋体" w:cs="宋体"/>
          <w:szCs w:val="21"/>
        </w:rPr>
      </w:pPr>
      <w:r>
        <w:rPr>
          <w:rFonts w:hint="eastAsia" w:ascii="宋体" w:hAnsi="宋体" w:cs="宋体"/>
          <w:szCs w:val="21"/>
        </w:rPr>
        <w:t>致:安庆职业技术学院</w:t>
      </w:r>
    </w:p>
    <w:p>
      <w:pPr>
        <w:spacing w:line="360" w:lineRule="auto"/>
        <w:ind w:firstLine="420" w:firstLineChars="200"/>
        <w:rPr>
          <w:rFonts w:ascii="宋体" w:hAnsi="宋体" w:cs="宋体"/>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szCs w:val="21"/>
        </w:rPr>
        <w:t>，包括：</w:t>
      </w:r>
    </w:p>
    <w:p>
      <w:pPr>
        <w:spacing w:line="360" w:lineRule="auto"/>
        <w:ind w:firstLine="420" w:firstLineChars="200"/>
        <w:rPr>
          <w:rFonts w:ascii="宋体" w:hAnsi="宋体" w:cs="宋体"/>
          <w:szCs w:val="21"/>
        </w:rPr>
      </w:pPr>
      <w:r>
        <w:rPr>
          <w:rFonts w:hint="eastAsia" w:ascii="宋体" w:hAnsi="宋体" w:cs="宋体"/>
          <w:szCs w:val="21"/>
        </w:rPr>
        <w:t>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 xml:space="preserve">特此声明！                             </w:t>
      </w:r>
    </w:p>
    <w:p>
      <w:pPr>
        <w:spacing w:line="360" w:lineRule="auto"/>
        <w:ind w:firstLine="420" w:firstLineChars="200"/>
        <w:rPr>
          <w:rFonts w:ascii="宋体" w:hAnsi="宋体" w:cs="宋体"/>
          <w:szCs w:val="21"/>
        </w:rPr>
      </w:pPr>
      <w:r>
        <w:rPr>
          <w:rFonts w:hint="eastAsia" w:ascii="宋体" w:hAnsi="宋体" w:cs="宋体"/>
          <w:szCs w:val="21"/>
        </w:rPr>
        <w:t xml:space="preserve">                                            谈判响应人名称（盖章）：                        </w:t>
      </w:r>
    </w:p>
    <w:p>
      <w:pPr>
        <w:spacing w:line="360" w:lineRule="auto"/>
        <w:ind w:firstLine="420" w:firstLineChars="200"/>
        <w:rPr>
          <w:rFonts w:ascii="宋体" w:hAnsi="宋体" w:cs="宋体"/>
          <w:szCs w:val="21"/>
        </w:rPr>
      </w:pPr>
      <w:r>
        <w:rPr>
          <w:rFonts w:hint="eastAsia" w:ascii="宋体" w:hAnsi="宋体" w:cs="宋体"/>
          <w:szCs w:val="21"/>
        </w:rPr>
        <w:t xml:space="preserve">                                            法定代表人或委托代理人（签字或盖章）：                </w:t>
      </w:r>
    </w:p>
    <w:p>
      <w:pPr>
        <w:spacing w:line="360" w:lineRule="auto"/>
        <w:ind w:firstLine="420" w:firstLineChars="200"/>
        <w:rPr>
          <w:rFonts w:ascii="宋体" w:hAnsi="宋体" w:cs="宋体"/>
          <w:szCs w:val="21"/>
        </w:rPr>
      </w:pPr>
      <w:r>
        <w:rPr>
          <w:rFonts w:hint="eastAsia" w:ascii="宋体" w:hAnsi="宋体" w:cs="宋体"/>
          <w:szCs w:val="21"/>
        </w:rPr>
        <w:t xml:space="preserve">                                            日期：        年       月       日</w:t>
      </w:r>
    </w:p>
    <w:p>
      <w:pPr>
        <w:pStyle w:val="53"/>
        <w:spacing w:line="360" w:lineRule="auto"/>
        <w:ind w:left="420" w:firstLine="0" w:firstLineChars="0"/>
        <w:rPr>
          <w:rFonts w:ascii="宋体" w:hAnsi="宋体"/>
          <w:b/>
          <w:szCs w:val="21"/>
        </w:rPr>
      </w:pPr>
      <w:r>
        <w:rPr>
          <w:rFonts w:hint="eastAsia" w:ascii="宋体" w:hAnsi="宋体" w:cs="宋体"/>
          <w:szCs w:val="21"/>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szCs w:val="21"/>
        </w:rPr>
        <w:t>法定代表人或委托代理人（签字或盖章）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cs="宋体"/>
          <w:szCs w:val="21"/>
        </w:rPr>
      </w:pPr>
    </w:p>
    <w:p>
      <w:pPr>
        <w:widowControl/>
        <w:spacing w:line="500" w:lineRule="exact"/>
        <w:ind w:firstLine="420" w:firstLineChars="200"/>
        <w:jc w:val="left"/>
        <w:rPr>
          <w:rFonts w:ascii="宋体" w:hAnsi="宋体" w:cs="宋体"/>
          <w:szCs w:val="21"/>
        </w:rPr>
      </w:pPr>
      <w:r>
        <w:rPr>
          <w:rFonts w:hint="eastAsia" w:ascii="宋体" w:hAnsi="宋体" w:cs="宋体"/>
          <w:szCs w:val="21"/>
        </w:rPr>
        <w:t>8、一个完整年度（2018年或2019年或2020年）财务会计报表；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　　　如谈判响应人为新成立的供应商，请提供上一月度（或季度）财务会计报表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9、本项目竞争性谈判文件中要求谈判响应人提供的其他资格条件证明材料</w:t>
      </w:r>
    </w:p>
    <w:p>
      <w:pPr>
        <w:widowControl/>
        <w:spacing w:line="500" w:lineRule="exact"/>
        <w:ind w:firstLine="420" w:firstLineChars="200"/>
        <w:jc w:val="left"/>
        <w:rPr>
          <w:rFonts w:ascii="宋体" w:hAnsi="宋体" w:cs="宋体"/>
          <w:szCs w:val="21"/>
        </w:rPr>
      </w:pPr>
      <w:r>
        <w:rPr>
          <w:rFonts w:hint="eastAsia" w:ascii="宋体" w:hAnsi="宋体" w:cs="宋体"/>
          <w:szCs w:val="21"/>
        </w:rPr>
        <w:t>10、须提供上述资格证明文件复印件或扫描件或影印件。</w:t>
      </w: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spacing w:line="360" w:lineRule="auto"/>
        <w:jc w:val="left"/>
        <w:rPr>
          <w:rFonts w:ascii="宋体" w:hAnsi="宋体" w:cs="宋体"/>
          <w:b/>
          <w:sz w:val="24"/>
        </w:rPr>
      </w:pPr>
      <w:r>
        <w:rPr>
          <w:rFonts w:hint="eastAsia" w:ascii="宋体" w:hAnsi="宋体" w:cs="宋体"/>
          <w:b/>
          <w:sz w:val="24"/>
        </w:rPr>
        <w:t>附 件：</w:t>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授权书</w:t>
      </w:r>
    </w:p>
    <w:p>
      <w:pPr>
        <w:pStyle w:val="11"/>
        <w:snapToGrid w:val="0"/>
        <w:spacing w:line="360" w:lineRule="auto"/>
        <w:ind w:firstLine="480" w:firstLineChars="200"/>
        <w:jc w:val="left"/>
        <w:rPr>
          <w:rFonts w:hAnsi="宋体"/>
          <w:sz w:val="24"/>
          <w:szCs w:val="28"/>
        </w:rPr>
      </w:pPr>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1"/>
        <w:snapToGrid w:val="0"/>
        <w:spacing w:line="360" w:lineRule="auto"/>
        <w:ind w:firstLine="480" w:firstLineChars="200"/>
        <w:jc w:val="left"/>
        <w:rPr>
          <w:rFonts w:hAnsi="宋体"/>
          <w:sz w:val="24"/>
        </w:rPr>
      </w:pPr>
    </w:p>
    <w:p>
      <w:pPr>
        <w:pStyle w:val="1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r>
                  <w:rPr>
                    <w:rFonts w:hint="eastAsia"/>
                    <w:sz w:val="18"/>
                  </w:rPr>
                  <w:t xml:space="preserve"> 页 共37页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szCs w:val="21"/>
      </w:rPr>
    </w:pPr>
    <w:r>
      <w:rPr>
        <w:rFonts w:hint="eastAsia"/>
        <w:szCs w:val="21"/>
      </w:rPr>
      <w:t xml:space="preserve">                     安庆职业技术学院教学过程支撑系统模块与设备采购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295EA"/>
    <w:multiLevelType w:val="singleLevel"/>
    <w:tmpl w:val="800295EA"/>
    <w:lvl w:ilvl="0" w:tentative="0">
      <w:start w:val="1"/>
      <w:numFmt w:val="decimal"/>
      <w:suff w:val="nothing"/>
      <w:lvlText w:val="%1、"/>
      <w:lvlJc w:val="left"/>
    </w:lvl>
  </w:abstractNum>
  <w:abstractNum w:abstractNumId="1">
    <w:nsid w:val="BC2C893A"/>
    <w:multiLevelType w:val="singleLevel"/>
    <w:tmpl w:val="BC2C893A"/>
    <w:lvl w:ilvl="0" w:tentative="0">
      <w:start w:val="1"/>
      <w:numFmt w:val="decimal"/>
      <w:suff w:val="nothing"/>
      <w:lvlText w:val="%1、"/>
      <w:lvlJc w:val="left"/>
    </w:lvl>
  </w:abstractNum>
  <w:abstractNum w:abstractNumId="2">
    <w:nsid w:val="199F2BB5"/>
    <w:multiLevelType w:val="singleLevel"/>
    <w:tmpl w:val="199F2BB5"/>
    <w:lvl w:ilvl="0" w:tentative="0">
      <w:start w:val="1"/>
      <w:numFmt w:val="decimal"/>
      <w:suff w:val="nothing"/>
      <w:lvlText w:val="%1、"/>
      <w:lvlJc w:val="left"/>
    </w:lvl>
  </w:abstractNum>
  <w:abstractNum w:abstractNumId="3">
    <w:nsid w:val="220FC732"/>
    <w:multiLevelType w:val="singleLevel"/>
    <w:tmpl w:val="220FC732"/>
    <w:lvl w:ilvl="0" w:tentative="0">
      <w:start w:val="1"/>
      <w:numFmt w:val="decimal"/>
      <w:suff w:val="nothing"/>
      <w:lvlText w:val="%1、"/>
      <w:lvlJc w:val="left"/>
    </w:lvl>
  </w:abstractNum>
  <w:abstractNum w:abstractNumId="4">
    <w:nsid w:val="4DA1CF11"/>
    <w:multiLevelType w:val="singleLevel"/>
    <w:tmpl w:val="4DA1CF11"/>
    <w:lvl w:ilvl="0" w:tentative="0">
      <w:start w:val="1"/>
      <w:numFmt w:val="decimal"/>
      <w:suff w:val="nothing"/>
      <w:lvlText w:val="%1、"/>
      <w:lvlJc w:val="left"/>
    </w:lvl>
  </w:abstractNum>
  <w:abstractNum w:abstractNumId="5">
    <w:nsid w:val="57198966"/>
    <w:multiLevelType w:val="singleLevel"/>
    <w:tmpl w:val="57198966"/>
    <w:lvl w:ilvl="0" w:tentative="0">
      <w:start w:val="1"/>
      <w:numFmt w:val="decimal"/>
      <w:suff w:val="nothing"/>
      <w:lvlText w:val="%1、"/>
      <w:lvlJc w:val="left"/>
    </w:lvl>
  </w:abstractNum>
  <w:abstractNum w:abstractNumId="6">
    <w:nsid w:val="58D9DD69"/>
    <w:multiLevelType w:val="singleLevel"/>
    <w:tmpl w:val="58D9DD69"/>
    <w:lvl w:ilvl="0" w:tentative="0">
      <w:start w:val="3"/>
      <w:numFmt w:val="decimal"/>
      <w:suff w:val="nothing"/>
      <w:lvlText w:val="%1、"/>
      <w:lvlJc w:val="left"/>
    </w:lvl>
  </w:abstractNum>
  <w:abstractNum w:abstractNumId="7">
    <w:nsid w:val="58DE129E"/>
    <w:multiLevelType w:val="singleLevel"/>
    <w:tmpl w:val="58DE129E"/>
    <w:lvl w:ilvl="0" w:tentative="0">
      <w:start w:val="4"/>
      <w:numFmt w:val="chineseCounting"/>
      <w:suff w:val="nothing"/>
      <w:lvlText w:val="%1、"/>
      <w:lvlJc w:val="left"/>
    </w:lvl>
  </w:abstractNum>
  <w:abstractNum w:abstractNumId="8">
    <w:nsid w:val="590BEEFE"/>
    <w:multiLevelType w:val="singleLevel"/>
    <w:tmpl w:val="590BEEFE"/>
    <w:lvl w:ilvl="0" w:tentative="0">
      <w:start w:val="13"/>
      <w:numFmt w:val="decimal"/>
      <w:suff w:val="nothing"/>
      <w:lvlText w:val="%1、"/>
      <w:lvlJc w:val="left"/>
    </w:lvl>
  </w:abstractNum>
  <w:abstractNum w:abstractNumId="9">
    <w:nsid w:val="5EE16D3A"/>
    <w:multiLevelType w:val="singleLevel"/>
    <w:tmpl w:val="5EE16D3A"/>
    <w:lvl w:ilvl="0" w:tentative="0">
      <w:start w:val="1"/>
      <w:numFmt w:val="decimal"/>
      <w:suff w:val="nothing"/>
      <w:lvlText w:val="%1、"/>
      <w:lvlJc w:val="left"/>
    </w:lvl>
  </w:abstractNum>
  <w:abstractNum w:abstractNumId="10">
    <w:nsid w:val="6C32C26F"/>
    <w:multiLevelType w:val="singleLevel"/>
    <w:tmpl w:val="6C32C26F"/>
    <w:lvl w:ilvl="0" w:tentative="0">
      <w:start w:val="1"/>
      <w:numFmt w:val="decimal"/>
      <w:suff w:val="nothing"/>
      <w:lvlText w:val="%1、"/>
      <w:lvlJc w:val="left"/>
    </w:lvl>
  </w:abstractNum>
  <w:abstractNum w:abstractNumId="11">
    <w:nsid w:val="70901A03"/>
    <w:multiLevelType w:val="singleLevel"/>
    <w:tmpl w:val="70901A03"/>
    <w:lvl w:ilvl="0" w:tentative="0">
      <w:start w:val="1"/>
      <w:numFmt w:val="decimal"/>
      <w:suff w:val="nothing"/>
      <w:lvlText w:val="%1、"/>
      <w:lvlJc w:val="left"/>
    </w:lvl>
  </w:abstractNum>
  <w:abstractNum w:abstractNumId="12">
    <w:nsid w:val="79C7A704"/>
    <w:multiLevelType w:val="singleLevel"/>
    <w:tmpl w:val="79C7A704"/>
    <w:lvl w:ilvl="0" w:tentative="0">
      <w:start w:val="1"/>
      <w:numFmt w:val="decimal"/>
      <w:suff w:val="nothing"/>
      <w:lvlText w:val="%1、"/>
      <w:lvlJc w:val="left"/>
    </w:lvl>
  </w:abstractNum>
  <w:num w:numId="1">
    <w:abstractNumId w:val="8"/>
  </w:num>
  <w:num w:numId="2">
    <w:abstractNumId w:val="7"/>
  </w:num>
  <w:num w:numId="3">
    <w:abstractNumId w:val="9"/>
  </w:num>
  <w:num w:numId="4">
    <w:abstractNumId w:val="0"/>
  </w:num>
  <w:num w:numId="5">
    <w:abstractNumId w:val="4"/>
  </w:num>
  <w:num w:numId="6">
    <w:abstractNumId w:val="11"/>
  </w:num>
  <w:num w:numId="7">
    <w:abstractNumId w:val="12"/>
  </w:num>
  <w:num w:numId="8">
    <w:abstractNumId w:val="5"/>
  </w:num>
  <w:num w:numId="9">
    <w:abstractNumId w:val="1"/>
  </w:num>
  <w:num w:numId="10">
    <w:abstractNumId w:val="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D02"/>
    <w:rsid w:val="00016F43"/>
    <w:rsid w:val="00017071"/>
    <w:rsid w:val="00017884"/>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688D"/>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A1"/>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01F1"/>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148"/>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4414"/>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1FAC"/>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3A0D"/>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0D1"/>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3F77"/>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1A1"/>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8D4"/>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3037ED"/>
    <w:rsid w:val="018A44B4"/>
    <w:rsid w:val="01922DC9"/>
    <w:rsid w:val="019924DC"/>
    <w:rsid w:val="01A31BA9"/>
    <w:rsid w:val="01BB72E8"/>
    <w:rsid w:val="021A1EAD"/>
    <w:rsid w:val="02316790"/>
    <w:rsid w:val="023E4914"/>
    <w:rsid w:val="02606320"/>
    <w:rsid w:val="026F2CC5"/>
    <w:rsid w:val="02734C55"/>
    <w:rsid w:val="02D57437"/>
    <w:rsid w:val="02E9052A"/>
    <w:rsid w:val="02F06C0E"/>
    <w:rsid w:val="02F10E60"/>
    <w:rsid w:val="03090AF1"/>
    <w:rsid w:val="031778E3"/>
    <w:rsid w:val="03387229"/>
    <w:rsid w:val="03443A6F"/>
    <w:rsid w:val="037138CD"/>
    <w:rsid w:val="03724537"/>
    <w:rsid w:val="03851ED2"/>
    <w:rsid w:val="03A96165"/>
    <w:rsid w:val="03F44933"/>
    <w:rsid w:val="04043AA5"/>
    <w:rsid w:val="04165D84"/>
    <w:rsid w:val="041E7ACD"/>
    <w:rsid w:val="04201B8B"/>
    <w:rsid w:val="04245C53"/>
    <w:rsid w:val="04382BE0"/>
    <w:rsid w:val="043E7102"/>
    <w:rsid w:val="045E7194"/>
    <w:rsid w:val="0477350E"/>
    <w:rsid w:val="04875DFF"/>
    <w:rsid w:val="048D42C4"/>
    <w:rsid w:val="0498643B"/>
    <w:rsid w:val="04A006E1"/>
    <w:rsid w:val="04CB32CC"/>
    <w:rsid w:val="04E50C1D"/>
    <w:rsid w:val="04FD4494"/>
    <w:rsid w:val="051A65C3"/>
    <w:rsid w:val="05244A1E"/>
    <w:rsid w:val="052E1C9F"/>
    <w:rsid w:val="052E7D0D"/>
    <w:rsid w:val="0531200C"/>
    <w:rsid w:val="053E109C"/>
    <w:rsid w:val="054C6411"/>
    <w:rsid w:val="05A14822"/>
    <w:rsid w:val="05BD1AA1"/>
    <w:rsid w:val="05E002BE"/>
    <w:rsid w:val="05E35B59"/>
    <w:rsid w:val="05F35EB0"/>
    <w:rsid w:val="061652FD"/>
    <w:rsid w:val="063B4D88"/>
    <w:rsid w:val="06481AD4"/>
    <w:rsid w:val="06521913"/>
    <w:rsid w:val="06567772"/>
    <w:rsid w:val="06805122"/>
    <w:rsid w:val="069353D8"/>
    <w:rsid w:val="06952ADA"/>
    <w:rsid w:val="06A85231"/>
    <w:rsid w:val="06C10BDE"/>
    <w:rsid w:val="06DF7532"/>
    <w:rsid w:val="06F36A08"/>
    <w:rsid w:val="06F94826"/>
    <w:rsid w:val="06FB1E54"/>
    <w:rsid w:val="071B4038"/>
    <w:rsid w:val="07422C6F"/>
    <w:rsid w:val="07632295"/>
    <w:rsid w:val="07655DB3"/>
    <w:rsid w:val="076E24E5"/>
    <w:rsid w:val="079F27F0"/>
    <w:rsid w:val="07AE4DBF"/>
    <w:rsid w:val="07AF4527"/>
    <w:rsid w:val="07DA0583"/>
    <w:rsid w:val="0838737A"/>
    <w:rsid w:val="08444D9F"/>
    <w:rsid w:val="08511F00"/>
    <w:rsid w:val="087A5C75"/>
    <w:rsid w:val="087F1843"/>
    <w:rsid w:val="088A4392"/>
    <w:rsid w:val="089935B7"/>
    <w:rsid w:val="08AA4743"/>
    <w:rsid w:val="08D12404"/>
    <w:rsid w:val="08DA0D79"/>
    <w:rsid w:val="0927319F"/>
    <w:rsid w:val="092B3141"/>
    <w:rsid w:val="093714FF"/>
    <w:rsid w:val="097517AF"/>
    <w:rsid w:val="097A7948"/>
    <w:rsid w:val="09890446"/>
    <w:rsid w:val="098C68F8"/>
    <w:rsid w:val="09AC4724"/>
    <w:rsid w:val="09AC71E9"/>
    <w:rsid w:val="09B87F24"/>
    <w:rsid w:val="09F95F96"/>
    <w:rsid w:val="09FA4F71"/>
    <w:rsid w:val="0A0334B3"/>
    <w:rsid w:val="0A0D26BB"/>
    <w:rsid w:val="0A311CC8"/>
    <w:rsid w:val="0A3C1CA7"/>
    <w:rsid w:val="0A461924"/>
    <w:rsid w:val="0A4B61C6"/>
    <w:rsid w:val="0A6D3720"/>
    <w:rsid w:val="0A901CC5"/>
    <w:rsid w:val="0ACE4FC1"/>
    <w:rsid w:val="0AD07978"/>
    <w:rsid w:val="0B072024"/>
    <w:rsid w:val="0B0914F5"/>
    <w:rsid w:val="0B110D86"/>
    <w:rsid w:val="0B1C5187"/>
    <w:rsid w:val="0B220186"/>
    <w:rsid w:val="0B2916C2"/>
    <w:rsid w:val="0B2A07B0"/>
    <w:rsid w:val="0B332287"/>
    <w:rsid w:val="0B736FD8"/>
    <w:rsid w:val="0B91761E"/>
    <w:rsid w:val="0B97165A"/>
    <w:rsid w:val="0BCA33E7"/>
    <w:rsid w:val="0BE77B0B"/>
    <w:rsid w:val="0C385ADE"/>
    <w:rsid w:val="0C83295D"/>
    <w:rsid w:val="0C89471E"/>
    <w:rsid w:val="0C907A80"/>
    <w:rsid w:val="0CA532E1"/>
    <w:rsid w:val="0CAE5CFF"/>
    <w:rsid w:val="0D072DFE"/>
    <w:rsid w:val="0D2152D7"/>
    <w:rsid w:val="0D3E4270"/>
    <w:rsid w:val="0D44150C"/>
    <w:rsid w:val="0D494161"/>
    <w:rsid w:val="0D4F57E4"/>
    <w:rsid w:val="0D632F8F"/>
    <w:rsid w:val="0D6669BD"/>
    <w:rsid w:val="0DC64678"/>
    <w:rsid w:val="0DCB05AE"/>
    <w:rsid w:val="0DF70178"/>
    <w:rsid w:val="0DF94899"/>
    <w:rsid w:val="0DFA1324"/>
    <w:rsid w:val="0E260A50"/>
    <w:rsid w:val="0E32410D"/>
    <w:rsid w:val="0E487583"/>
    <w:rsid w:val="0E5E52EC"/>
    <w:rsid w:val="0E9223D5"/>
    <w:rsid w:val="0EA86D69"/>
    <w:rsid w:val="0EB14180"/>
    <w:rsid w:val="0EBC4E69"/>
    <w:rsid w:val="0EDD408A"/>
    <w:rsid w:val="0EF64818"/>
    <w:rsid w:val="0EFB37A0"/>
    <w:rsid w:val="0F137FA4"/>
    <w:rsid w:val="0F2B317B"/>
    <w:rsid w:val="0F3D389D"/>
    <w:rsid w:val="0F434292"/>
    <w:rsid w:val="0F8236D5"/>
    <w:rsid w:val="0F8259A4"/>
    <w:rsid w:val="0FA65B55"/>
    <w:rsid w:val="0FC55235"/>
    <w:rsid w:val="0FD05E00"/>
    <w:rsid w:val="0FD83EC6"/>
    <w:rsid w:val="1009280B"/>
    <w:rsid w:val="100E134E"/>
    <w:rsid w:val="10264018"/>
    <w:rsid w:val="102D2AFE"/>
    <w:rsid w:val="104A2CE1"/>
    <w:rsid w:val="1050087E"/>
    <w:rsid w:val="107E4A72"/>
    <w:rsid w:val="10B2256F"/>
    <w:rsid w:val="10C17787"/>
    <w:rsid w:val="10C64A93"/>
    <w:rsid w:val="10DC68D5"/>
    <w:rsid w:val="112F2B2C"/>
    <w:rsid w:val="11355366"/>
    <w:rsid w:val="11803EC2"/>
    <w:rsid w:val="11A03675"/>
    <w:rsid w:val="11AC730F"/>
    <w:rsid w:val="11BC1C1F"/>
    <w:rsid w:val="11C735A4"/>
    <w:rsid w:val="11CF1EF1"/>
    <w:rsid w:val="11EA2CE5"/>
    <w:rsid w:val="11F27F7D"/>
    <w:rsid w:val="121A40C0"/>
    <w:rsid w:val="12486B77"/>
    <w:rsid w:val="12633BA5"/>
    <w:rsid w:val="126D2AE8"/>
    <w:rsid w:val="12933A7D"/>
    <w:rsid w:val="12994AF8"/>
    <w:rsid w:val="12AE6B32"/>
    <w:rsid w:val="12C43EF0"/>
    <w:rsid w:val="12C4475B"/>
    <w:rsid w:val="12D6647C"/>
    <w:rsid w:val="12F81468"/>
    <w:rsid w:val="132B46CB"/>
    <w:rsid w:val="1347382D"/>
    <w:rsid w:val="135421F8"/>
    <w:rsid w:val="135C0074"/>
    <w:rsid w:val="13616BDF"/>
    <w:rsid w:val="13753967"/>
    <w:rsid w:val="13A1080A"/>
    <w:rsid w:val="13CA5E0D"/>
    <w:rsid w:val="13DF2D80"/>
    <w:rsid w:val="13EB17D3"/>
    <w:rsid w:val="13FF717E"/>
    <w:rsid w:val="140C3B2C"/>
    <w:rsid w:val="142A4E08"/>
    <w:rsid w:val="145C6A1A"/>
    <w:rsid w:val="145E59DA"/>
    <w:rsid w:val="146B3973"/>
    <w:rsid w:val="14896E49"/>
    <w:rsid w:val="14BB77D1"/>
    <w:rsid w:val="14D8207C"/>
    <w:rsid w:val="14DA386A"/>
    <w:rsid w:val="14E42898"/>
    <w:rsid w:val="14F224D3"/>
    <w:rsid w:val="14FF6569"/>
    <w:rsid w:val="15073605"/>
    <w:rsid w:val="1516320B"/>
    <w:rsid w:val="152A4236"/>
    <w:rsid w:val="155807CF"/>
    <w:rsid w:val="15786FC5"/>
    <w:rsid w:val="158546EC"/>
    <w:rsid w:val="15D34B8E"/>
    <w:rsid w:val="15E611B3"/>
    <w:rsid w:val="15FA4347"/>
    <w:rsid w:val="16135F43"/>
    <w:rsid w:val="162701DA"/>
    <w:rsid w:val="162B22EC"/>
    <w:rsid w:val="16484942"/>
    <w:rsid w:val="164C31F0"/>
    <w:rsid w:val="164D4538"/>
    <w:rsid w:val="1669259D"/>
    <w:rsid w:val="16AA643D"/>
    <w:rsid w:val="16AF3B22"/>
    <w:rsid w:val="16C16894"/>
    <w:rsid w:val="16E33E89"/>
    <w:rsid w:val="16E62698"/>
    <w:rsid w:val="170161F1"/>
    <w:rsid w:val="170B2AE0"/>
    <w:rsid w:val="170C2076"/>
    <w:rsid w:val="171347E8"/>
    <w:rsid w:val="171F0553"/>
    <w:rsid w:val="17412D20"/>
    <w:rsid w:val="17656EC7"/>
    <w:rsid w:val="17865E6F"/>
    <w:rsid w:val="178B2FCA"/>
    <w:rsid w:val="17953FB6"/>
    <w:rsid w:val="17AB12FD"/>
    <w:rsid w:val="17B54142"/>
    <w:rsid w:val="17D73777"/>
    <w:rsid w:val="17E12977"/>
    <w:rsid w:val="17E16748"/>
    <w:rsid w:val="17E64412"/>
    <w:rsid w:val="183A16EE"/>
    <w:rsid w:val="184834A6"/>
    <w:rsid w:val="185C0EDF"/>
    <w:rsid w:val="187D7569"/>
    <w:rsid w:val="188859CE"/>
    <w:rsid w:val="189F55F4"/>
    <w:rsid w:val="18A75C99"/>
    <w:rsid w:val="18B20FCE"/>
    <w:rsid w:val="18C32252"/>
    <w:rsid w:val="18F273A6"/>
    <w:rsid w:val="192A68C8"/>
    <w:rsid w:val="19486FB2"/>
    <w:rsid w:val="19555DF8"/>
    <w:rsid w:val="195619E7"/>
    <w:rsid w:val="196E49C7"/>
    <w:rsid w:val="199475C6"/>
    <w:rsid w:val="19963360"/>
    <w:rsid w:val="199F5019"/>
    <w:rsid w:val="19DF13F6"/>
    <w:rsid w:val="1A390864"/>
    <w:rsid w:val="1A6A324A"/>
    <w:rsid w:val="1AC77936"/>
    <w:rsid w:val="1AEC4961"/>
    <w:rsid w:val="1B06535A"/>
    <w:rsid w:val="1B181533"/>
    <w:rsid w:val="1B7E2B45"/>
    <w:rsid w:val="1BA7556B"/>
    <w:rsid w:val="1BDE1760"/>
    <w:rsid w:val="1BF1026B"/>
    <w:rsid w:val="1C2551E1"/>
    <w:rsid w:val="1C4B349A"/>
    <w:rsid w:val="1C5E38E2"/>
    <w:rsid w:val="1C656F34"/>
    <w:rsid w:val="1C946602"/>
    <w:rsid w:val="1CA232AC"/>
    <w:rsid w:val="1CCA7376"/>
    <w:rsid w:val="1CDA731B"/>
    <w:rsid w:val="1CEC1E5F"/>
    <w:rsid w:val="1D074EC5"/>
    <w:rsid w:val="1D0B7287"/>
    <w:rsid w:val="1D0E5817"/>
    <w:rsid w:val="1D153E51"/>
    <w:rsid w:val="1D2826AC"/>
    <w:rsid w:val="1D443226"/>
    <w:rsid w:val="1D865A2F"/>
    <w:rsid w:val="1DA03128"/>
    <w:rsid w:val="1DA05131"/>
    <w:rsid w:val="1DB25B96"/>
    <w:rsid w:val="1DC52A30"/>
    <w:rsid w:val="1DC65517"/>
    <w:rsid w:val="1DD66520"/>
    <w:rsid w:val="1DE870A5"/>
    <w:rsid w:val="1DED5C0B"/>
    <w:rsid w:val="1E16127D"/>
    <w:rsid w:val="1E2A33E0"/>
    <w:rsid w:val="1E465BA2"/>
    <w:rsid w:val="1E5E47E0"/>
    <w:rsid w:val="1E65548D"/>
    <w:rsid w:val="1E6A5CCC"/>
    <w:rsid w:val="1E815AFF"/>
    <w:rsid w:val="1E84689A"/>
    <w:rsid w:val="1E9F3A7D"/>
    <w:rsid w:val="1F004046"/>
    <w:rsid w:val="1F0F5251"/>
    <w:rsid w:val="1F1555E0"/>
    <w:rsid w:val="1F2E7427"/>
    <w:rsid w:val="1F5472F6"/>
    <w:rsid w:val="1F5662B7"/>
    <w:rsid w:val="1F663A3C"/>
    <w:rsid w:val="1F6E7EA0"/>
    <w:rsid w:val="1F805BBC"/>
    <w:rsid w:val="1FA83428"/>
    <w:rsid w:val="1FA91EA6"/>
    <w:rsid w:val="1FE73C5F"/>
    <w:rsid w:val="1FF877BF"/>
    <w:rsid w:val="202915A2"/>
    <w:rsid w:val="2038536A"/>
    <w:rsid w:val="204539A1"/>
    <w:rsid w:val="205D2600"/>
    <w:rsid w:val="206E486C"/>
    <w:rsid w:val="207019F5"/>
    <w:rsid w:val="20806241"/>
    <w:rsid w:val="208D6C00"/>
    <w:rsid w:val="20B030F9"/>
    <w:rsid w:val="20DD7A52"/>
    <w:rsid w:val="20EC75B1"/>
    <w:rsid w:val="20F1140E"/>
    <w:rsid w:val="21087874"/>
    <w:rsid w:val="21346507"/>
    <w:rsid w:val="213C7062"/>
    <w:rsid w:val="21435719"/>
    <w:rsid w:val="21457AA6"/>
    <w:rsid w:val="2173474F"/>
    <w:rsid w:val="2184057F"/>
    <w:rsid w:val="219C4AB4"/>
    <w:rsid w:val="21A87C74"/>
    <w:rsid w:val="21B76AE0"/>
    <w:rsid w:val="21C24E53"/>
    <w:rsid w:val="21F63830"/>
    <w:rsid w:val="221A760B"/>
    <w:rsid w:val="223C008F"/>
    <w:rsid w:val="22472B4C"/>
    <w:rsid w:val="2253597B"/>
    <w:rsid w:val="22643497"/>
    <w:rsid w:val="22794F14"/>
    <w:rsid w:val="227F77DE"/>
    <w:rsid w:val="229442B5"/>
    <w:rsid w:val="22C67959"/>
    <w:rsid w:val="22E406C3"/>
    <w:rsid w:val="22FB0688"/>
    <w:rsid w:val="230828C0"/>
    <w:rsid w:val="231C0C23"/>
    <w:rsid w:val="232063A6"/>
    <w:rsid w:val="23635693"/>
    <w:rsid w:val="239F4B3B"/>
    <w:rsid w:val="23B76FD3"/>
    <w:rsid w:val="23B97AB4"/>
    <w:rsid w:val="23C44AC9"/>
    <w:rsid w:val="23ED7ADD"/>
    <w:rsid w:val="23FA536A"/>
    <w:rsid w:val="240C6AFA"/>
    <w:rsid w:val="2448342E"/>
    <w:rsid w:val="244B7F91"/>
    <w:rsid w:val="245C48D7"/>
    <w:rsid w:val="246E108F"/>
    <w:rsid w:val="2487230D"/>
    <w:rsid w:val="248A20F3"/>
    <w:rsid w:val="24A249FE"/>
    <w:rsid w:val="24AA3C8A"/>
    <w:rsid w:val="24BB2ACC"/>
    <w:rsid w:val="24DE204A"/>
    <w:rsid w:val="24E3226F"/>
    <w:rsid w:val="24F37B94"/>
    <w:rsid w:val="25066EF6"/>
    <w:rsid w:val="2518296A"/>
    <w:rsid w:val="253F397F"/>
    <w:rsid w:val="253F4C3B"/>
    <w:rsid w:val="258C4F50"/>
    <w:rsid w:val="25AE54D9"/>
    <w:rsid w:val="25B174DB"/>
    <w:rsid w:val="25B52531"/>
    <w:rsid w:val="25BA112C"/>
    <w:rsid w:val="25CE2471"/>
    <w:rsid w:val="25D976AC"/>
    <w:rsid w:val="26006000"/>
    <w:rsid w:val="26066D6F"/>
    <w:rsid w:val="26235A5B"/>
    <w:rsid w:val="26276106"/>
    <w:rsid w:val="262E24B2"/>
    <w:rsid w:val="268B284C"/>
    <w:rsid w:val="26935619"/>
    <w:rsid w:val="26A26BEE"/>
    <w:rsid w:val="26C7367F"/>
    <w:rsid w:val="26CC34C5"/>
    <w:rsid w:val="26CD70F0"/>
    <w:rsid w:val="26E97493"/>
    <w:rsid w:val="26FE1742"/>
    <w:rsid w:val="26FF1B22"/>
    <w:rsid w:val="2701248A"/>
    <w:rsid w:val="27015D0E"/>
    <w:rsid w:val="272B4880"/>
    <w:rsid w:val="2745366C"/>
    <w:rsid w:val="274F6261"/>
    <w:rsid w:val="277A093D"/>
    <w:rsid w:val="27800637"/>
    <w:rsid w:val="278241BD"/>
    <w:rsid w:val="27971706"/>
    <w:rsid w:val="279767AD"/>
    <w:rsid w:val="27B365ED"/>
    <w:rsid w:val="280755BB"/>
    <w:rsid w:val="284C2668"/>
    <w:rsid w:val="286012E2"/>
    <w:rsid w:val="286D29E1"/>
    <w:rsid w:val="288714FD"/>
    <w:rsid w:val="28902E8A"/>
    <w:rsid w:val="28C90B09"/>
    <w:rsid w:val="28CC3AA7"/>
    <w:rsid w:val="28CF34CF"/>
    <w:rsid w:val="28E656E0"/>
    <w:rsid w:val="28EA436C"/>
    <w:rsid w:val="29215BA4"/>
    <w:rsid w:val="292F41B4"/>
    <w:rsid w:val="29660000"/>
    <w:rsid w:val="296C0693"/>
    <w:rsid w:val="298174D0"/>
    <w:rsid w:val="298A5CBE"/>
    <w:rsid w:val="29A65A1D"/>
    <w:rsid w:val="29AB58E8"/>
    <w:rsid w:val="29AF38AF"/>
    <w:rsid w:val="29B4634A"/>
    <w:rsid w:val="29CE0EB8"/>
    <w:rsid w:val="29EA6C76"/>
    <w:rsid w:val="29F10992"/>
    <w:rsid w:val="29F1685F"/>
    <w:rsid w:val="29FA3D4D"/>
    <w:rsid w:val="2A035FF2"/>
    <w:rsid w:val="2A065716"/>
    <w:rsid w:val="2A2E1289"/>
    <w:rsid w:val="2A5607F7"/>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F269A7"/>
    <w:rsid w:val="2C1C696A"/>
    <w:rsid w:val="2C263268"/>
    <w:rsid w:val="2C457AB2"/>
    <w:rsid w:val="2C482C4B"/>
    <w:rsid w:val="2C5174E0"/>
    <w:rsid w:val="2C5618F8"/>
    <w:rsid w:val="2C5F33AB"/>
    <w:rsid w:val="2C6A365C"/>
    <w:rsid w:val="2C877A43"/>
    <w:rsid w:val="2C8F59B2"/>
    <w:rsid w:val="2CA86A04"/>
    <w:rsid w:val="2CAA2A08"/>
    <w:rsid w:val="2CE22AB5"/>
    <w:rsid w:val="2D050326"/>
    <w:rsid w:val="2D2E767E"/>
    <w:rsid w:val="2D320D1B"/>
    <w:rsid w:val="2D347FF2"/>
    <w:rsid w:val="2D4D44F0"/>
    <w:rsid w:val="2D5E00FB"/>
    <w:rsid w:val="2D845825"/>
    <w:rsid w:val="2D982024"/>
    <w:rsid w:val="2D9A7120"/>
    <w:rsid w:val="2DC50F24"/>
    <w:rsid w:val="2DE435D2"/>
    <w:rsid w:val="2DF36570"/>
    <w:rsid w:val="2E0532BC"/>
    <w:rsid w:val="2E235B1A"/>
    <w:rsid w:val="2E2D4D5E"/>
    <w:rsid w:val="2E3512B9"/>
    <w:rsid w:val="2E3A7CE1"/>
    <w:rsid w:val="2E5E27D5"/>
    <w:rsid w:val="2E8C2848"/>
    <w:rsid w:val="2ECC4C86"/>
    <w:rsid w:val="2ECF2A5B"/>
    <w:rsid w:val="2F185165"/>
    <w:rsid w:val="2F2D4173"/>
    <w:rsid w:val="2F2E5DF2"/>
    <w:rsid w:val="2F323DD8"/>
    <w:rsid w:val="2F3C308F"/>
    <w:rsid w:val="2F3D0D32"/>
    <w:rsid w:val="2F4879FF"/>
    <w:rsid w:val="2F643906"/>
    <w:rsid w:val="2F795989"/>
    <w:rsid w:val="2F8278DB"/>
    <w:rsid w:val="2F9C7A54"/>
    <w:rsid w:val="2F9D6043"/>
    <w:rsid w:val="2FC04163"/>
    <w:rsid w:val="2FCC3FBC"/>
    <w:rsid w:val="2FD71C09"/>
    <w:rsid w:val="2FE13372"/>
    <w:rsid w:val="3006129D"/>
    <w:rsid w:val="303965FE"/>
    <w:rsid w:val="30494AE2"/>
    <w:rsid w:val="30B5333E"/>
    <w:rsid w:val="30DC639E"/>
    <w:rsid w:val="30ED7891"/>
    <w:rsid w:val="30F90549"/>
    <w:rsid w:val="310E0930"/>
    <w:rsid w:val="313C614E"/>
    <w:rsid w:val="31505DAD"/>
    <w:rsid w:val="31532F2D"/>
    <w:rsid w:val="31624461"/>
    <w:rsid w:val="31796188"/>
    <w:rsid w:val="318320A8"/>
    <w:rsid w:val="31A40879"/>
    <w:rsid w:val="31C1309B"/>
    <w:rsid w:val="31CD7106"/>
    <w:rsid w:val="31F57EDC"/>
    <w:rsid w:val="320C1BA8"/>
    <w:rsid w:val="323E6AE2"/>
    <w:rsid w:val="32495000"/>
    <w:rsid w:val="32821075"/>
    <w:rsid w:val="329A04A2"/>
    <w:rsid w:val="32AA5A6C"/>
    <w:rsid w:val="32B56792"/>
    <w:rsid w:val="32BC30EA"/>
    <w:rsid w:val="32C51192"/>
    <w:rsid w:val="32CD43F3"/>
    <w:rsid w:val="32EE7C35"/>
    <w:rsid w:val="330E11CE"/>
    <w:rsid w:val="332848FF"/>
    <w:rsid w:val="334932BF"/>
    <w:rsid w:val="339E01F6"/>
    <w:rsid w:val="33B33591"/>
    <w:rsid w:val="33C40DAF"/>
    <w:rsid w:val="33CB50F6"/>
    <w:rsid w:val="33EA5773"/>
    <w:rsid w:val="34156596"/>
    <w:rsid w:val="341579FF"/>
    <w:rsid w:val="34356D52"/>
    <w:rsid w:val="343B1E3D"/>
    <w:rsid w:val="34601EF9"/>
    <w:rsid w:val="347B2C27"/>
    <w:rsid w:val="3480762C"/>
    <w:rsid w:val="348977C7"/>
    <w:rsid w:val="34B563E2"/>
    <w:rsid w:val="34BA47F2"/>
    <w:rsid w:val="34C71782"/>
    <w:rsid w:val="34CA2810"/>
    <w:rsid w:val="34CB7EBB"/>
    <w:rsid w:val="34F73875"/>
    <w:rsid w:val="35033E04"/>
    <w:rsid w:val="350A1874"/>
    <w:rsid w:val="350A2FE5"/>
    <w:rsid w:val="350C4714"/>
    <w:rsid w:val="351A087B"/>
    <w:rsid w:val="35270B41"/>
    <w:rsid w:val="353323D5"/>
    <w:rsid w:val="35552B7F"/>
    <w:rsid w:val="357915CD"/>
    <w:rsid w:val="35925C72"/>
    <w:rsid w:val="359341F9"/>
    <w:rsid w:val="35973F2D"/>
    <w:rsid w:val="35C26DEE"/>
    <w:rsid w:val="360F267E"/>
    <w:rsid w:val="3617681A"/>
    <w:rsid w:val="365A50BB"/>
    <w:rsid w:val="366A7A1A"/>
    <w:rsid w:val="366E68DA"/>
    <w:rsid w:val="36881F0D"/>
    <w:rsid w:val="36C41867"/>
    <w:rsid w:val="36CC24F7"/>
    <w:rsid w:val="36DC1879"/>
    <w:rsid w:val="370E4C3C"/>
    <w:rsid w:val="372D5DB7"/>
    <w:rsid w:val="373C3CC0"/>
    <w:rsid w:val="375436D4"/>
    <w:rsid w:val="37545502"/>
    <w:rsid w:val="37634939"/>
    <w:rsid w:val="37855348"/>
    <w:rsid w:val="378927E1"/>
    <w:rsid w:val="37961987"/>
    <w:rsid w:val="37D4606B"/>
    <w:rsid w:val="37FA4F3B"/>
    <w:rsid w:val="3815337F"/>
    <w:rsid w:val="381F5E35"/>
    <w:rsid w:val="383813C8"/>
    <w:rsid w:val="385244BD"/>
    <w:rsid w:val="38623892"/>
    <w:rsid w:val="38650C3E"/>
    <w:rsid w:val="388809BB"/>
    <w:rsid w:val="388A07DC"/>
    <w:rsid w:val="38C1223C"/>
    <w:rsid w:val="38D23B1E"/>
    <w:rsid w:val="38DF4349"/>
    <w:rsid w:val="38E431AE"/>
    <w:rsid w:val="38E96309"/>
    <w:rsid w:val="38F57B5C"/>
    <w:rsid w:val="38FD069B"/>
    <w:rsid w:val="38FD2469"/>
    <w:rsid w:val="39173D9A"/>
    <w:rsid w:val="391908C8"/>
    <w:rsid w:val="39334744"/>
    <w:rsid w:val="393F256E"/>
    <w:rsid w:val="39471DAC"/>
    <w:rsid w:val="3948026B"/>
    <w:rsid w:val="3956604D"/>
    <w:rsid w:val="39641092"/>
    <w:rsid w:val="39A1679C"/>
    <w:rsid w:val="39F12A70"/>
    <w:rsid w:val="3A132F16"/>
    <w:rsid w:val="3A1B3237"/>
    <w:rsid w:val="3A852CE4"/>
    <w:rsid w:val="3A8F4331"/>
    <w:rsid w:val="3A93517E"/>
    <w:rsid w:val="3AA20C1F"/>
    <w:rsid w:val="3AEF12C8"/>
    <w:rsid w:val="3B42434C"/>
    <w:rsid w:val="3B5D5A63"/>
    <w:rsid w:val="3B8E4A09"/>
    <w:rsid w:val="3BAC6896"/>
    <w:rsid w:val="3BCA17D2"/>
    <w:rsid w:val="3BD07133"/>
    <w:rsid w:val="3BE55A8F"/>
    <w:rsid w:val="3BF44C1A"/>
    <w:rsid w:val="3C030505"/>
    <w:rsid w:val="3C0556F7"/>
    <w:rsid w:val="3C197648"/>
    <w:rsid w:val="3C34574B"/>
    <w:rsid w:val="3C3B492E"/>
    <w:rsid w:val="3C5A2D1C"/>
    <w:rsid w:val="3C7941AB"/>
    <w:rsid w:val="3C845F7F"/>
    <w:rsid w:val="3CAD36F9"/>
    <w:rsid w:val="3CAE366A"/>
    <w:rsid w:val="3CB37024"/>
    <w:rsid w:val="3CE47750"/>
    <w:rsid w:val="3CF159F1"/>
    <w:rsid w:val="3D057F7D"/>
    <w:rsid w:val="3D0976C4"/>
    <w:rsid w:val="3D2828C0"/>
    <w:rsid w:val="3D4752E9"/>
    <w:rsid w:val="3D7E34D1"/>
    <w:rsid w:val="3D86314C"/>
    <w:rsid w:val="3D8C258A"/>
    <w:rsid w:val="3DA7157D"/>
    <w:rsid w:val="3DC75D75"/>
    <w:rsid w:val="3DEC3000"/>
    <w:rsid w:val="3DED1264"/>
    <w:rsid w:val="3DEE70ED"/>
    <w:rsid w:val="3E0347A6"/>
    <w:rsid w:val="3E301932"/>
    <w:rsid w:val="3E37139E"/>
    <w:rsid w:val="3E386E20"/>
    <w:rsid w:val="3E3E18DD"/>
    <w:rsid w:val="3E403714"/>
    <w:rsid w:val="3E517EAD"/>
    <w:rsid w:val="3E5C5F16"/>
    <w:rsid w:val="3E696287"/>
    <w:rsid w:val="3E7811DF"/>
    <w:rsid w:val="3E7E6A1E"/>
    <w:rsid w:val="3EBC691E"/>
    <w:rsid w:val="3EC81074"/>
    <w:rsid w:val="3ECE2706"/>
    <w:rsid w:val="3EE929A2"/>
    <w:rsid w:val="3EF21A56"/>
    <w:rsid w:val="3F3527DB"/>
    <w:rsid w:val="3F610CAF"/>
    <w:rsid w:val="3F92191C"/>
    <w:rsid w:val="3FBA3CFE"/>
    <w:rsid w:val="3FCD2F32"/>
    <w:rsid w:val="3FE11C20"/>
    <w:rsid w:val="40130954"/>
    <w:rsid w:val="402F14D9"/>
    <w:rsid w:val="4042437C"/>
    <w:rsid w:val="40437225"/>
    <w:rsid w:val="40666255"/>
    <w:rsid w:val="40852B71"/>
    <w:rsid w:val="40A4504A"/>
    <w:rsid w:val="40A56A55"/>
    <w:rsid w:val="40D04F96"/>
    <w:rsid w:val="40D25774"/>
    <w:rsid w:val="41232AC2"/>
    <w:rsid w:val="412F650A"/>
    <w:rsid w:val="4154383A"/>
    <w:rsid w:val="415826D8"/>
    <w:rsid w:val="416A77B2"/>
    <w:rsid w:val="417B2704"/>
    <w:rsid w:val="41BD4938"/>
    <w:rsid w:val="41C97DFF"/>
    <w:rsid w:val="42092064"/>
    <w:rsid w:val="425056D7"/>
    <w:rsid w:val="426B7473"/>
    <w:rsid w:val="427E562E"/>
    <w:rsid w:val="428075BF"/>
    <w:rsid w:val="428B1B6D"/>
    <w:rsid w:val="428F5C09"/>
    <w:rsid w:val="42C22B34"/>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846EF4"/>
    <w:rsid w:val="448B20BD"/>
    <w:rsid w:val="449667D9"/>
    <w:rsid w:val="44D00889"/>
    <w:rsid w:val="44DB3186"/>
    <w:rsid w:val="44F11AA7"/>
    <w:rsid w:val="453146CD"/>
    <w:rsid w:val="45535650"/>
    <w:rsid w:val="455A36D4"/>
    <w:rsid w:val="45642733"/>
    <w:rsid w:val="456854C1"/>
    <w:rsid w:val="456D1461"/>
    <w:rsid w:val="45851C29"/>
    <w:rsid w:val="45880124"/>
    <w:rsid w:val="45FB5915"/>
    <w:rsid w:val="462875A5"/>
    <w:rsid w:val="462E6C0B"/>
    <w:rsid w:val="468E2831"/>
    <w:rsid w:val="46A401F3"/>
    <w:rsid w:val="470044F7"/>
    <w:rsid w:val="47074A07"/>
    <w:rsid w:val="47077F50"/>
    <w:rsid w:val="4750237F"/>
    <w:rsid w:val="475A0EB2"/>
    <w:rsid w:val="475B3E56"/>
    <w:rsid w:val="475E4BEA"/>
    <w:rsid w:val="47766E62"/>
    <w:rsid w:val="479E21BE"/>
    <w:rsid w:val="47A32293"/>
    <w:rsid w:val="47AB5258"/>
    <w:rsid w:val="47CB5980"/>
    <w:rsid w:val="47E7569B"/>
    <w:rsid w:val="47F14B7F"/>
    <w:rsid w:val="47F32172"/>
    <w:rsid w:val="48145B11"/>
    <w:rsid w:val="48541AB4"/>
    <w:rsid w:val="488739F0"/>
    <w:rsid w:val="489D3FD7"/>
    <w:rsid w:val="48AF30F8"/>
    <w:rsid w:val="48B35E3A"/>
    <w:rsid w:val="48BA78DE"/>
    <w:rsid w:val="48C2276C"/>
    <w:rsid w:val="48CA70FD"/>
    <w:rsid w:val="48CB5058"/>
    <w:rsid w:val="48CC2435"/>
    <w:rsid w:val="48FF7CD2"/>
    <w:rsid w:val="490D4C4F"/>
    <w:rsid w:val="49134474"/>
    <w:rsid w:val="49395F44"/>
    <w:rsid w:val="494065BB"/>
    <w:rsid w:val="494824A6"/>
    <w:rsid w:val="499814CB"/>
    <w:rsid w:val="499C42E2"/>
    <w:rsid w:val="49C11DC8"/>
    <w:rsid w:val="49FA026B"/>
    <w:rsid w:val="49FA3470"/>
    <w:rsid w:val="4A3F23A4"/>
    <w:rsid w:val="4A596B7C"/>
    <w:rsid w:val="4A5E3A23"/>
    <w:rsid w:val="4A92373A"/>
    <w:rsid w:val="4A9471BB"/>
    <w:rsid w:val="4AA043AA"/>
    <w:rsid w:val="4ABA51D3"/>
    <w:rsid w:val="4ABD1A49"/>
    <w:rsid w:val="4AD16E3D"/>
    <w:rsid w:val="4AF931B1"/>
    <w:rsid w:val="4AFC3933"/>
    <w:rsid w:val="4B17556D"/>
    <w:rsid w:val="4B46248B"/>
    <w:rsid w:val="4B804DBA"/>
    <w:rsid w:val="4B8D6483"/>
    <w:rsid w:val="4B994F91"/>
    <w:rsid w:val="4BBD33CE"/>
    <w:rsid w:val="4BC75233"/>
    <w:rsid w:val="4C5B7BDE"/>
    <w:rsid w:val="4C6355B0"/>
    <w:rsid w:val="4C911AF5"/>
    <w:rsid w:val="4CAA6DEC"/>
    <w:rsid w:val="4CBB5870"/>
    <w:rsid w:val="4CC24C50"/>
    <w:rsid w:val="4D0E12D1"/>
    <w:rsid w:val="4D291727"/>
    <w:rsid w:val="4D2A6786"/>
    <w:rsid w:val="4D365321"/>
    <w:rsid w:val="4D3913B2"/>
    <w:rsid w:val="4D432840"/>
    <w:rsid w:val="4D5F6118"/>
    <w:rsid w:val="4D681C3A"/>
    <w:rsid w:val="4D6E540A"/>
    <w:rsid w:val="4D976B7C"/>
    <w:rsid w:val="4DA27A1C"/>
    <w:rsid w:val="4DAA76F7"/>
    <w:rsid w:val="4DBE1C1A"/>
    <w:rsid w:val="4DE652ED"/>
    <w:rsid w:val="4DEF06D0"/>
    <w:rsid w:val="4DFF0486"/>
    <w:rsid w:val="4DFF3300"/>
    <w:rsid w:val="4E0C0B2F"/>
    <w:rsid w:val="4E1405C7"/>
    <w:rsid w:val="4E1D0257"/>
    <w:rsid w:val="4E881F1E"/>
    <w:rsid w:val="4EA53DCB"/>
    <w:rsid w:val="4EC877D1"/>
    <w:rsid w:val="4ED72506"/>
    <w:rsid w:val="4F203DE0"/>
    <w:rsid w:val="4F72431F"/>
    <w:rsid w:val="4F7E3D22"/>
    <w:rsid w:val="4FA90FFB"/>
    <w:rsid w:val="4FBE780A"/>
    <w:rsid w:val="4FF442B8"/>
    <w:rsid w:val="4FF74036"/>
    <w:rsid w:val="50155B19"/>
    <w:rsid w:val="5023371B"/>
    <w:rsid w:val="503A7D50"/>
    <w:rsid w:val="505173DF"/>
    <w:rsid w:val="50573EE0"/>
    <w:rsid w:val="50687EE1"/>
    <w:rsid w:val="507D4863"/>
    <w:rsid w:val="50825ABD"/>
    <w:rsid w:val="50847E24"/>
    <w:rsid w:val="508B2042"/>
    <w:rsid w:val="50A117D4"/>
    <w:rsid w:val="50DC48AF"/>
    <w:rsid w:val="50F1625A"/>
    <w:rsid w:val="5124215A"/>
    <w:rsid w:val="51320B4E"/>
    <w:rsid w:val="513F47ED"/>
    <w:rsid w:val="517806BF"/>
    <w:rsid w:val="519B7926"/>
    <w:rsid w:val="51B15013"/>
    <w:rsid w:val="51E62428"/>
    <w:rsid w:val="51F04FD8"/>
    <w:rsid w:val="52177C0F"/>
    <w:rsid w:val="5222697F"/>
    <w:rsid w:val="5253705D"/>
    <w:rsid w:val="52641C31"/>
    <w:rsid w:val="527375B5"/>
    <w:rsid w:val="527C558B"/>
    <w:rsid w:val="52BD5372"/>
    <w:rsid w:val="52BE7C9F"/>
    <w:rsid w:val="52C066E1"/>
    <w:rsid w:val="52CB5B90"/>
    <w:rsid w:val="52D93B7C"/>
    <w:rsid w:val="52E0721B"/>
    <w:rsid w:val="52E51C8D"/>
    <w:rsid w:val="52E7467F"/>
    <w:rsid w:val="52ED6A1C"/>
    <w:rsid w:val="530379C0"/>
    <w:rsid w:val="5318224A"/>
    <w:rsid w:val="53211D72"/>
    <w:rsid w:val="53254D94"/>
    <w:rsid w:val="5334399F"/>
    <w:rsid w:val="533A3138"/>
    <w:rsid w:val="537D1372"/>
    <w:rsid w:val="53BB45BD"/>
    <w:rsid w:val="53D8574B"/>
    <w:rsid w:val="53E93774"/>
    <w:rsid w:val="53FE4378"/>
    <w:rsid w:val="53FF22C9"/>
    <w:rsid w:val="541146DE"/>
    <w:rsid w:val="54124691"/>
    <w:rsid w:val="54227209"/>
    <w:rsid w:val="542F6611"/>
    <w:rsid w:val="544E4D2A"/>
    <w:rsid w:val="54747F77"/>
    <w:rsid w:val="54A52B04"/>
    <w:rsid w:val="54BD3E01"/>
    <w:rsid w:val="5506074D"/>
    <w:rsid w:val="55061C05"/>
    <w:rsid w:val="550D4C7E"/>
    <w:rsid w:val="5534034E"/>
    <w:rsid w:val="55361973"/>
    <w:rsid w:val="55826059"/>
    <w:rsid w:val="559C4EB4"/>
    <w:rsid w:val="55B577AC"/>
    <w:rsid w:val="55B840E3"/>
    <w:rsid w:val="55DB4169"/>
    <w:rsid w:val="55E85A89"/>
    <w:rsid w:val="55EA0851"/>
    <w:rsid w:val="55FB65C8"/>
    <w:rsid w:val="56021E2A"/>
    <w:rsid w:val="560A0CCC"/>
    <w:rsid w:val="560A7BA7"/>
    <w:rsid w:val="561E24B4"/>
    <w:rsid w:val="5624608C"/>
    <w:rsid w:val="566762AF"/>
    <w:rsid w:val="567233E3"/>
    <w:rsid w:val="56813D12"/>
    <w:rsid w:val="56A35EB9"/>
    <w:rsid w:val="56B53234"/>
    <w:rsid w:val="56C07344"/>
    <w:rsid w:val="56C34750"/>
    <w:rsid w:val="56D53EDE"/>
    <w:rsid w:val="56FE0584"/>
    <w:rsid w:val="57070F3F"/>
    <w:rsid w:val="5738023E"/>
    <w:rsid w:val="573B17CB"/>
    <w:rsid w:val="573D4E87"/>
    <w:rsid w:val="577A4C43"/>
    <w:rsid w:val="5781514F"/>
    <w:rsid w:val="578D15B1"/>
    <w:rsid w:val="57A25E51"/>
    <w:rsid w:val="57A80A97"/>
    <w:rsid w:val="57C16AE7"/>
    <w:rsid w:val="57E45843"/>
    <w:rsid w:val="57F22874"/>
    <w:rsid w:val="57F77A99"/>
    <w:rsid w:val="58036FF1"/>
    <w:rsid w:val="580E26D8"/>
    <w:rsid w:val="581840BD"/>
    <w:rsid w:val="581F31B7"/>
    <w:rsid w:val="58367EC4"/>
    <w:rsid w:val="585B2F03"/>
    <w:rsid w:val="586C1CE8"/>
    <w:rsid w:val="58803767"/>
    <w:rsid w:val="58807951"/>
    <w:rsid w:val="58C53BF9"/>
    <w:rsid w:val="58DF4006"/>
    <w:rsid w:val="591724CF"/>
    <w:rsid w:val="591D14AE"/>
    <w:rsid w:val="591F64C4"/>
    <w:rsid w:val="59272B65"/>
    <w:rsid w:val="59284BD5"/>
    <w:rsid w:val="59324F49"/>
    <w:rsid w:val="593928F1"/>
    <w:rsid w:val="596E2614"/>
    <w:rsid w:val="59847F15"/>
    <w:rsid w:val="59890768"/>
    <w:rsid w:val="59B30F36"/>
    <w:rsid w:val="59E35308"/>
    <w:rsid w:val="5A151319"/>
    <w:rsid w:val="5A567EF5"/>
    <w:rsid w:val="5A7E4921"/>
    <w:rsid w:val="5A8A3DB1"/>
    <w:rsid w:val="5A972372"/>
    <w:rsid w:val="5AA9184E"/>
    <w:rsid w:val="5AD433FA"/>
    <w:rsid w:val="5AD9352C"/>
    <w:rsid w:val="5ADC5520"/>
    <w:rsid w:val="5AE31628"/>
    <w:rsid w:val="5AE80B9C"/>
    <w:rsid w:val="5B0C3AF9"/>
    <w:rsid w:val="5B1B7F7F"/>
    <w:rsid w:val="5B747B40"/>
    <w:rsid w:val="5B9135E6"/>
    <w:rsid w:val="5B976158"/>
    <w:rsid w:val="5BA3302A"/>
    <w:rsid w:val="5BC85BF2"/>
    <w:rsid w:val="5BD15CD7"/>
    <w:rsid w:val="5BD62506"/>
    <w:rsid w:val="5C281CBF"/>
    <w:rsid w:val="5C375F97"/>
    <w:rsid w:val="5C3F2313"/>
    <w:rsid w:val="5C7F704A"/>
    <w:rsid w:val="5CD003EE"/>
    <w:rsid w:val="5CD502ED"/>
    <w:rsid w:val="5CDB0255"/>
    <w:rsid w:val="5CE43F1C"/>
    <w:rsid w:val="5CED0783"/>
    <w:rsid w:val="5CF750B0"/>
    <w:rsid w:val="5D0040C4"/>
    <w:rsid w:val="5D1B5705"/>
    <w:rsid w:val="5D3868D0"/>
    <w:rsid w:val="5D3D5F84"/>
    <w:rsid w:val="5D3E03A7"/>
    <w:rsid w:val="5D464C29"/>
    <w:rsid w:val="5D72396D"/>
    <w:rsid w:val="5D771884"/>
    <w:rsid w:val="5D82078A"/>
    <w:rsid w:val="5D9406D1"/>
    <w:rsid w:val="5D96394F"/>
    <w:rsid w:val="5DCC1CA1"/>
    <w:rsid w:val="5DF6043F"/>
    <w:rsid w:val="5DFE13F7"/>
    <w:rsid w:val="5E0A56D8"/>
    <w:rsid w:val="5E1E33A9"/>
    <w:rsid w:val="5E230800"/>
    <w:rsid w:val="5E271CE1"/>
    <w:rsid w:val="5E3B3CA9"/>
    <w:rsid w:val="5E3F7DAD"/>
    <w:rsid w:val="5E53162C"/>
    <w:rsid w:val="5E8377B9"/>
    <w:rsid w:val="5E9C1ACB"/>
    <w:rsid w:val="5ECA75B8"/>
    <w:rsid w:val="5F103D27"/>
    <w:rsid w:val="5F88394B"/>
    <w:rsid w:val="5F8A6E4E"/>
    <w:rsid w:val="5F924DC1"/>
    <w:rsid w:val="5FA227CC"/>
    <w:rsid w:val="5FB95257"/>
    <w:rsid w:val="5FC664C8"/>
    <w:rsid w:val="5FC93F13"/>
    <w:rsid w:val="5FD93159"/>
    <w:rsid w:val="5FE837F5"/>
    <w:rsid w:val="5FF6617D"/>
    <w:rsid w:val="5FFE2592"/>
    <w:rsid w:val="5FFF7C15"/>
    <w:rsid w:val="603F0023"/>
    <w:rsid w:val="604134CD"/>
    <w:rsid w:val="604C0C43"/>
    <w:rsid w:val="605D42EA"/>
    <w:rsid w:val="60BA6E4F"/>
    <w:rsid w:val="60BC2341"/>
    <w:rsid w:val="60DB75D3"/>
    <w:rsid w:val="60FF5D94"/>
    <w:rsid w:val="61243ADB"/>
    <w:rsid w:val="615A7F35"/>
    <w:rsid w:val="618668C8"/>
    <w:rsid w:val="61AC22C2"/>
    <w:rsid w:val="61B13F9A"/>
    <w:rsid w:val="61BC05B0"/>
    <w:rsid w:val="61BF0745"/>
    <w:rsid w:val="62007B87"/>
    <w:rsid w:val="620361E5"/>
    <w:rsid w:val="62444D1E"/>
    <w:rsid w:val="626211CB"/>
    <w:rsid w:val="626B4E79"/>
    <w:rsid w:val="627D15E7"/>
    <w:rsid w:val="62851CDD"/>
    <w:rsid w:val="62A71108"/>
    <w:rsid w:val="62B12EE3"/>
    <w:rsid w:val="62C872A0"/>
    <w:rsid w:val="62D33386"/>
    <w:rsid w:val="632623AE"/>
    <w:rsid w:val="6334467B"/>
    <w:rsid w:val="634B6A33"/>
    <w:rsid w:val="63537050"/>
    <w:rsid w:val="6366073D"/>
    <w:rsid w:val="637451BA"/>
    <w:rsid w:val="63856835"/>
    <w:rsid w:val="638C7095"/>
    <w:rsid w:val="63B1118B"/>
    <w:rsid w:val="64481CC9"/>
    <w:rsid w:val="645415CC"/>
    <w:rsid w:val="645A63E0"/>
    <w:rsid w:val="648264B3"/>
    <w:rsid w:val="649C0C41"/>
    <w:rsid w:val="64B74F47"/>
    <w:rsid w:val="64CA33E1"/>
    <w:rsid w:val="64D360F3"/>
    <w:rsid w:val="64EB5CA0"/>
    <w:rsid w:val="64F91C54"/>
    <w:rsid w:val="65031CD1"/>
    <w:rsid w:val="650352E9"/>
    <w:rsid w:val="65053E1E"/>
    <w:rsid w:val="65054FBD"/>
    <w:rsid w:val="650B73ED"/>
    <w:rsid w:val="654100E6"/>
    <w:rsid w:val="65420171"/>
    <w:rsid w:val="65526949"/>
    <w:rsid w:val="65BD50D4"/>
    <w:rsid w:val="65D5075D"/>
    <w:rsid w:val="65DD5452"/>
    <w:rsid w:val="65FC49E9"/>
    <w:rsid w:val="661B69F5"/>
    <w:rsid w:val="66240CDA"/>
    <w:rsid w:val="662A0A38"/>
    <w:rsid w:val="66486107"/>
    <w:rsid w:val="66494234"/>
    <w:rsid w:val="665011DF"/>
    <w:rsid w:val="666E2F01"/>
    <w:rsid w:val="668318A7"/>
    <w:rsid w:val="6684029B"/>
    <w:rsid w:val="668C16E3"/>
    <w:rsid w:val="669A7F65"/>
    <w:rsid w:val="66A65502"/>
    <w:rsid w:val="66B35A7A"/>
    <w:rsid w:val="66D76328"/>
    <w:rsid w:val="66DA3D3C"/>
    <w:rsid w:val="66DC180B"/>
    <w:rsid w:val="66E50D0E"/>
    <w:rsid w:val="66EC2A81"/>
    <w:rsid w:val="67247A5C"/>
    <w:rsid w:val="672B1A53"/>
    <w:rsid w:val="67427C8E"/>
    <w:rsid w:val="67C30AB2"/>
    <w:rsid w:val="67E75E72"/>
    <w:rsid w:val="680C0D40"/>
    <w:rsid w:val="682A4B88"/>
    <w:rsid w:val="682F10B1"/>
    <w:rsid w:val="68946DA9"/>
    <w:rsid w:val="68A42409"/>
    <w:rsid w:val="68A62796"/>
    <w:rsid w:val="68E77426"/>
    <w:rsid w:val="690D5ADF"/>
    <w:rsid w:val="691C697F"/>
    <w:rsid w:val="692D497F"/>
    <w:rsid w:val="693A0334"/>
    <w:rsid w:val="69487024"/>
    <w:rsid w:val="69563B27"/>
    <w:rsid w:val="69567D99"/>
    <w:rsid w:val="69674BBF"/>
    <w:rsid w:val="69836008"/>
    <w:rsid w:val="69841C93"/>
    <w:rsid w:val="69892653"/>
    <w:rsid w:val="69C27024"/>
    <w:rsid w:val="69CC7479"/>
    <w:rsid w:val="69E43C45"/>
    <w:rsid w:val="69F5715D"/>
    <w:rsid w:val="6A270136"/>
    <w:rsid w:val="6A346DB0"/>
    <w:rsid w:val="6A5128E7"/>
    <w:rsid w:val="6A555782"/>
    <w:rsid w:val="6A617017"/>
    <w:rsid w:val="6A62085F"/>
    <w:rsid w:val="6A6D17E9"/>
    <w:rsid w:val="6A7F68EE"/>
    <w:rsid w:val="6A897109"/>
    <w:rsid w:val="6A8E6B03"/>
    <w:rsid w:val="6A9F20FF"/>
    <w:rsid w:val="6AAD7CD0"/>
    <w:rsid w:val="6AC04C83"/>
    <w:rsid w:val="6AC255E7"/>
    <w:rsid w:val="6AEF0C5E"/>
    <w:rsid w:val="6B31046B"/>
    <w:rsid w:val="6B3A79C8"/>
    <w:rsid w:val="6B400911"/>
    <w:rsid w:val="6B41632D"/>
    <w:rsid w:val="6B4C4CA6"/>
    <w:rsid w:val="6B4F2CA1"/>
    <w:rsid w:val="6BA0669E"/>
    <w:rsid w:val="6BC16A63"/>
    <w:rsid w:val="6BCB6198"/>
    <w:rsid w:val="6BD05089"/>
    <w:rsid w:val="6BE31CE9"/>
    <w:rsid w:val="6BF77DC1"/>
    <w:rsid w:val="6C1908AC"/>
    <w:rsid w:val="6C2D5854"/>
    <w:rsid w:val="6C696408"/>
    <w:rsid w:val="6C6D2D0D"/>
    <w:rsid w:val="6C7453DE"/>
    <w:rsid w:val="6C855301"/>
    <w:rsid w:val="6CA026F1"/>
    <w:rsid w:val="6CBC13F4"/>
    <w:rsid w:val="6CD25BDE"/>
    <w:rsid w:val="6D014DE6"/>
    <w:rsid w:val="6D016666"/>
    <w:rsid w:val="6D1F041D"/>
    <w:rsid w:val="6D4C79DE"/>
    <w:rsid w:val="6D8650A8"/>
    <w:rsid w:val="6DA97C2D"/>
    <w:rsid w:val="6DB036E0"/>
    <w:rsid w:val="6DF767A3"/>
    <w:rsid w:val="6E000787"/>
    <w:rsid w:val="6E091096"/>
    <w:rsid w:val="6E4352D1"/>
    <w:rsid w:val="6E68594D"/>
    <w:rsid w:val="6E737441"/>
    <w:rsid w:val="6EBC030F"/>
    <w:rsid w:val="6EE7690C"/>
    <w:rsid w:val="6F2F55F5"/>
    <w:rsid w:val="6F360C1D"/>
    <w:rsid w:val="6F64004E"/>
    <w:rsid w:val="6F6D549F"/>
    <w:rsid w:val="6F833ED3"/>
    <w:rsid w:val="6FB27F32"/>
    <w:rsid w:val="6FE1221E"/>
    <w:rsid w:val="6FE31E38"/>
    <w:rsid w:val="6FF806A1"/>
    <w:rsid w:val="700B69B6"/>
    <w:rsid w:val="7016717C"/>
    <w:rsid w:val="701F46BD"/>
    <w:rsid w:val="704F6C8A"/>
    <w:rsid w:val="70512CBB"/>
    <w:rsid w:val="706F7AF1"/>
    <w:rsid w:val="7073649E"/>
    <w:rsid w:val="708B1E74"/>
    <w:rsid w:val="70997EB1"/>
    <w:rsid w:val="70B7737C"/>
    <w:rsid w:val="70C61C53"/>
    <w:rsid w:val="70D06298"/>
    <w:rsid w:val="70D154FC"/>
    <w:rsid w:val="70D37054"/>
    <w:rsid w:val="70F03E32"/>
    <w:rsid w:val="70F41DF3"/>
    <w:rsid w:val="70FD6B31"/>
    <w:rsid w:val="71263532"/>
    <w:rsid w:val="71DF5A6C"/>
    <w:rsid w:val="71EE6E25"/>
    <w:rsid w:val="71FC599A"/>
    <w:rsid w:val="72085F0E"/>
    <w:rsid w:val="72361642"/>
    <w:rsid w:val="723C7C02"/>
    <w:rsid w:val="7248108B"/>
    <w:rsid w:val="724A05E8"/>
    <w:rsid w:val="724D54DA"/>
    <w:rsid w:val="726D2B99"/>
    <w:rsid w:val="72811853"/>
    <w:rsid w:val="7299181E"/>
    <w:rsid w:val="729C3ADB"/>
    <w:rsid w:val="729C5E28"/>
    <w:rsid w:val="72BC0523"/>
    <w:rsid w:val="72BD5E94"/>
    <w:rsid w:val="72D37019"/>
    <w:rsid w:val="73112B0E"/>
    <w:rsid w:val="733F0605"/>
    <w:rsid w:val="7342058C"/>
    <w:rsid w:val="73580214"/>
    <w:rsid w:val="73735CE2"/>
    <w:rsid w:val="738730CC"/>
    <w:rsid w:val="738C1DEC"/>
    <w:rsid w:val="73905898"/>
    <w:rsid w:val="73C05842"/>
    <w:rsid w:val="73CD5085"/>
    <w:rsid w:val="73D253C5"/>
    <w:rsid w:val="73D9728E"/>
    <w:rsid w:val="73FD0B65"/>
    <w:rsid w:val="73FE6354"/>
    <w:rsid w:val="74045F5B"/>
    <w:rsid w:val="741065A6"/>
    <w:rsid w:val="74261C2A"/>
    <w:rsid w:val="743E4FDA"/>
    <w:rsid w:val="74454306"/>
    <w:rsid w:val="745D14B7"/>
    <w:rsid w:val="74824798"/>
    <w:rsid w:val="74AE7EC3"/>
    <w:rsid w:val="74BE1A94"/>
    <w:rsid w:val="7502185A"/>
    <w:rsid w:val="75042CB0"/>
    <w:rsid w:val="751F5A9C"/>
    <w:rsid w:val="75325F01"/>
    <w:rsid w:val="7553092D"/>
    <w:rsid w:val="755B7EA8"/>
    <w:rsid w:val="7595642F"/>
    <w:rsid w:val="75C07742"/>
    <w:rsid w:val="75CD5B0E"/>
    <w:rsid w:val="75F730E2"/>
    <w:rsid w:val="76075D1D"/>
    <w:rsid w:val="762B6B2F"/>
    <w:rsid w:val="763F7F9F"/>
    <w:rsid w:val="76495049"/>
    <w:rsid w:val="76680E2B"/>
    <w:rsid w:val="767239E5"/>
    <w:rsid w:val="769F52A1"/>
    <w:rsid w:val="76AA20E5"/>
    <w:rsid w:val="76B37D2C"/>
    <w:rsid w:val="76EE55AC"/>
    <w:rsid w:val="76F220C7"/>
    <w:rsid w:val="772671D2"/>
    <w:rsid w:val="77405661"/>
    <w:rsid w:val="77440E21"/>
    <w:rsid w:val="77746DB1"/>
    <w:rsid w:val="779F79D2"/>
    <w:rsid w:val="77A06510"/>
    <w:rsid w:val="77AE4C12"/>
    <w:rsid w:val="780139E8"/>
    <w:rsid w:val="78121F2E"/>
    <w:rsid w:val="78344EE6"/>
    <w:rsid w:val="783A61D4"/>
    <w:rsid w:val="7844255D"/>
    <w:rsid w:val="78444A87"/>
    <w:rsid w:val="784721A0"/>
    <w:rsid w:val="785E0E06"/>
    <w:rsid w:val="78696411"/>
    <w:rsid w:val="7883255F"/>
    <w:rsid w:val="7885742D"/>
    <w:rsid w:val="78866106"/>
    <w:rsid w:val="78915E65"/>
    <w:rsid w:val="78972FCD"/>
    <w:rsid w:val="78B54A54"/>
    <w:rsid w:val="78C920C8"/>
    <w:rsid w:val="78CB24D8"/>
    <w:rsid w:val="78CB4BD8"/>
    <w:rsid w:val="78D90277"/>
    <w:rsid w:val="78E215F4"/>
    <w:rsid w:val="78F66B43"/>
    <w:rsid w:val="7907149F"/>
    <w:rsid w:val="792E5ADB"/>
    <w:rsid w:val="793A736F"/>
    <w:rsid w:val="79484259"/>
    <w:rsid w:val="795A6E1D"/>
    <w:rsid w:val="79630533"/>
    <w:rsid w:val="7972680A"/>
    <w:rsid w:val="799F4D83"/>
    <w:rsid w:val="79AF762F"/>
    <w:rsid w:val="79B35723"/>
    <w:rsid w:val="79BF0825"/>
    <w:rsid w:val="7A030083"/>
    <w:rsid w:val="7A3352C5"/>
    <w:rsid w:val="7A3D27CB"/>
    <w:rsid w:val="7A435623"/>
    <w:rsid w:val="7A5A4664"/>
    <w:rsid w:val="7A840D5E"/>
    <w:rsid w:val="7A981DCF"/>
    <w:rsid w:val="7A990E28"/>
    <w:rsid w:val="7AAD422E"/>
    <w:rsid w:val="7AF00FBF"/>
    <w:rsid w:val="7B036CB8"/>
    <w:rsid w:val="7B0D6371"/>
    <w:rsid w:val="7B2C3382"/>
    <w:rsid w:val="7B425546"/>
    <w:rsid w:val="7B5E2D46"/>
    <w:rsid w:val="7B62387C"/>
    <w:rsid w:val="7B631AB3"/>
    <w:rsid w:val="7B715A61"/>
    <w:rsid w:val="7B7C01F3"/>
    <w:rsid w:val="7B8E0777"/>
    <w:rsid w:val="7B9A1458"/>
    <w:rsid w:val="7BB0072A"/>
    <w:rsid w:val="7BC71E77"/>
    <w:rsid w:val="7BF662EE"/>
    <w:rsid w:val="7BF7021D"/>
    <w:rsid w:val="7BFF1548"/>
    <w:rsid w:val="7C0F05A7"/>
    <w:rsid w:val="7C16565F"/>
    <w:rsid w:val="7C536936"/>
    <w:rsid w:val="7C585E3C"/>
    <w:rsid w:val="7C816FEB"/>
    <w:rsid w:val="7CC84B25"/>
    <w:rsid w:val="7CDB11AF"/>
    <w:rsid w:val="7CE945FD"/>
    <w:rsid w:val="7CF01E50"/>
    <w:rsid w:val="7D254BDC"/>
    <w:rsid w:val="7D2D083F"/>
    <w:rsid w:val="7D703797"/>
    <w:rsid w:val="7D783084"/>
    <w:rsid w:val="7D7F4BE5"/>
    <w:rsid w:val="7D814D3F"/>
    <w:rsid w:val="7D90280C"/>
    <w:rsid w:val="7D9163DF"/>
    <w:rsid w:val="7DD11077"/>
    <w:rsid w:val="7DF7205D"/>
    <w:rsid w:val="7E57474F"/>
    <w:rsid w:val="7E597CD7"/>
    <w:rsid w:val="7E5A355A"/>
    <w:rsid w:val="7E5B7C34"/>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4"/>
    <w:link w:val="5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7"/>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29"/>
    <w:qFormat/>
    <w:uiPriority w:val="0"/>
    <w:rPr>
      <w:rFonts w:ascii="宋体"/>
      <w:sz w:val="18"/>
      <w:szCs w:val="18"/>
    </w:rPr>
  </w:style>
  <w:style w:type="paragraph" w:styleId="7">
    <w:name w:val="annotation text"/>
    <w:basedOn w:val="1"/>
    <w:link w:val="30"/>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6"/>
    <w:qFormat/>
    <w:uiPriority w:val="0"/>
    <w:pPr>
      <w:spacing w:after="120"/>
      <w:ind w:left="420" w:leftChars="200"/>
    </w:pPr>
  </w:style>
  <w:style w:type="paragraph" w:styleId="10">
    <w:name w:val="toc 3"/>
    <w:basedOn w:val="1"/>
    <w:next w:val="1"/>
    <w:link w:val="33"/>
    <w:qFormat/>
    <w:uiPriority w:val="39"/>
    <w:pPr>
      <w:spacing w:line="500" w:lineRule="exact"/>
      <w:ind w:left="400" w:leftChars="400"/>
    </w:pPr>
    <w:rPr>
      <w:kern w:val="0"/>
      <w:sz w:val="24"/>
      <w:szCs w:val="20"/>
    </w:rPr>
  </w:style>
  <w:style w:type="paragraph" w:styleId="11">
    <w:name w:val="Plain Text"/>
    <w:basedOn w:val="1"/>
    <w:link w:val="34"/>
    <w:qFormat/>
    <w:uiPriority w:val="0"/>
    <w:rPr>
      <w:rFonts w:ascii="宋体" w:hAnsi="Courier New"/>
      <w:szCs w:val="20"/>
    </w:rPr>
  </w:style>
  <w:style w:type="paragraph" w:styleId="12">
    <w:name w:val="Date"/>
    <w:basedOn w:val="1"/>
    <w:next w:val="1"/>
    <w:link w:val="38"/>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index 1"/>
    <w:basedOn w:val="1"/>
    <w:next w:val="1"/>
    <w:semiHidden/>
    <w:qFormat/>
    <w:uiPriority w:val="0"/>
    <w:rPr>
      <w:szCs w:val="20"/>
    </w:rPr>
  </w:style>
  <w:style w:type="paragraph" w:styleId="20">
    <w:name w:val="annotation subject"/>
    <w:basedOn w:val="7"/>
    <w:next w:val="7"/>
    <w:semiHidden/>
    <w:qFormat/>
    <w:uiPriority w:val="0"/>
    <w:rPr>
      <w:rFonts w:ascii="Times New Roman" w:eastAsia="宋体"/>
      <w:b/>
      <w:bCs/>
      <w:sz w:val="21"/>
      <w:szCs w:val="24"/>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basedOn w:val="23"/>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文档结构图 Char"/>
    <w:link w:val="6"/>
    <w:qFormat/>
    <w:uiPriority w:val="0"/>
    <w:rPr>
      <w:rFonts w:ascii="宋体" w:eastAsia="宋体"/>
      <w:kern w:val="2"/>
      <w:sz w:val="18"/>
      <w:szCs w:val="18"/>
      <w:lang w:val="en-US" w:eastAsia="zh-CN" w:bidi="ar-SA"/>
    </w:rPr>
  </w:style>
  <w:style w:type="character" w:customStyle="1" w:styleId="30">
    <w:name w:val="批注文字 Char"/>
    <w:link w:val="7"/>
    <w:qFormat/>
    <w:uiPriority w:val="99"/>
    <w:rPr>
      <w:rFonts w:ascii="仿宋_GB2312" w:eastAsia="仿宋_GB2312"/>
      <w:kern w:val="2"/>
      <w:sz w:val="32"/>
      <w:szCs w:val="32"/>
    </w:rPr>
  </w:style>
  <w:style w:type="character" w:customStyle="1" w:styleId="31">
    <w:name w:val="样式（正文） Char"/>
    <w:link w:val="32"/>
    <w:qFormat/>
    <w:locked/>
    <w:uiPriority w:val="0"/>
    <w:rPr>
      <w:rFonts w:ascii="宋体" w:hAnsi="宋体" w:eastAsia="宋体"/>
      <w:kern w:val="2"/>
      <w:sz w:val="24"/>
      <w:szCs w:val="22"/>
      <w:lang w:bidi="ar-SA"/>
    </w:rPr>
  </w:style>
  <w:style w:type="paragraph" w:customStyle="1" w:styleId="32">
    <w:name w:val="样式（正文）"/>
    <w:basedOn w:val="1"/>
    <w:link w:val="31"/>
    <w:qFormat/>
    <w:uiPriority w:val="0"/>
    <w:pPr>
      <w:spacing w:line="360" w:lineRule="auto"/>
      <w:ind w:firstLine="200" w:firstLineChars="200"/>
    </w:pPr>
    <w:rPr>
      <w:rFonts w:ascii="宋体" w:hAnsi="宋体"/>
      <w:sz w:val="24"/>
      <w:szCs w:val="22"/>
    </w:rPr>
  </w:style>
  <w:style w:type="character" w:customStyle="1" w:styleId="33">
    <w:name w:val="目录 3 Char"/>
    <w:link w:val="10"/>
    <w:qFormat/>
    <w:uiPriority w:val="39"/>
    <w:rPr>
      <w:sz w:val="24"/>
    </w:rPr>
  </w:style>
  <w:style w:type="character" w:customStyle="1" w:styleId="34">
    <w:name w:val="纯文本 Char"/>
    <w:link w:val="11"/>
    <w:qFormat/>
    <w:uiPriority w:val="0"/>
    <w:rPr>
      <w:rFonts w:ascii="宋体" w:hAnsi="Courier New"/>
      <w:kern w:val="2"/>
      <w:sz w:val="21"/>
    </w:rPr>
  </w:style>
  <w:style w:type="character" w:customStyle="1" w:styleId="35">
    <w:name w:val="页脚 Char"/>
    <w:basedOn w:val="23"/>
    <w:link w:val="15"/>
    <w:qFormat/>
    <w:uiPriority w:val="99"/>
    <w:rPr>
      <w:kern w:val="2"/>
      <w:sz w:val="18"/>
      <w:szCs w:val="18"/>
    </w:rPr>
  </w:style>
  <w:style w:type="character" w:customStyle="1" w:styleId="36">
    <w:name w:val="正文文本缩进 Char"/>
    <w:link w:val="9"/>
    <w:qFormat/>
    <w:uiPriority w:val="0"/>
  </w:style>
  <w:style w:type="character" w:customStyle="1" w:styleId="37">
    <w:name w:val="正文缩进 Char"/>
    <w:link w:val="4"/>
    <w:qFormat/>
    <w:uiPriority w:val="0"/>
    <w:rPr>
      <w:rFonts w:ascii="宋体" w:eastAsia="宋体"/>
      <w:sz w:val="24"/>
      <w:lang w:val="en-US" w:eastAsia="zh-CN" w:bidi="ar-SA"/>
    </w:rPr>
  </w:style>
  <w:style w:type="character" w:customStyle="1" w:styleId="38">
    <w:name w:val="日期 Char"/>
    <w:basedOn w:val="23"/>
    <w:link w:val="12"/>
    <w:qFormat/>
    <w:uiPriority w:val="0"/>
    <w:rPr>
      <w:kern w:val="2"/>
      <w:sz w:val="21"/>
      <w:szCs w:val="24"/>
    </w:rPr>
  </w:style>
  <w:style w:type="paragraph" w:customStyle="1" w:styleId="39">
    <w:name w:val="Char Char1"/>
    <w:basedOn w:val="1"/>
    <w:qFormat/>
    <w:uiPriority w:val="0"/>
  </w:style>
  <w:style w:type="paragraph" w:customStyle="1" w:styleId="40">
    <w:name w:val="p0"/>
    <w:basedOn w:val="1"/>
    <w:qFormat/>
    <w:uiPriority w:val="0"/>
    <w:pPr>
      <w:widowControl/>
      <w:snapToGrid w:val="0"/>
      <w:spacing w:after="200"/>
      <w:jc w:val="left"/>
    </w:pPr>
    <w:rPr>
      <w:rFonts w:ascii="Tahoma" w:hAnsi="Tahoma" w:cs="Tahoma"/>
      <w:kern w:val="0"/>
      <w:sz w:val="22"/>
      <w:szCs w:val="22"/>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Char1"/>
    <w:basedOn w:val="1"/>
    <w:qFormat/>
    <w:uiPriority w:val="0"/>
    <w:rPr>
      <w:rFonts w:ascii="Tahoma" w:hAnsi="Tahoma"/>
      <w:sz w:val="24"/>
      <w:szCs w:val="20"/>
    </w:rPr>
  </w:style>
  <w:style w:type="paragraph" w:customStyle="1" w:styleId="43">
    <w:name w:val="Char"/>
    <w:basedOn w:val="1"/>
    <w:qFormat/>
    <w:uiPriority w:val="0"/>
    <w:pPr>
      <w:tabs>
        <w:tab w:val="left" w:pos="432"/>
      </w:tabs>
      <w:spacing w:beforeLines="50" w:afterLines="50"/>
      <w:ind w:left="864" w:hanging="432"/>
    </w:pPr>
    <w:rPr>
      <w:sz w:val="24"/>
    </w:rPr>
  </w:style>
  <w:style w:type="paragraph" w:customStyle="1" w:styleId="44">
    <w:name w:val="样式 标题 2 + 段后: 156 磅"/>
    <w:basedOn w:val="3"/>
    <w:qFormat/>
    <w:uiPriority w:val="0"/>
    <w:pPr>
      <w:spacing w:before="100" w:after="100" w:line="240" w:lineRule="auto"/>
    </w:pPr>
    <w:rPr>
      <w:rFonts w:cs="宋体"/>
      <w:bCs/>
      <w:sz w:val="30"/>
    </w:rPr>
  </w:style>
  <w:style w:type="paragraph" w:customStyle="1" w:styleId="45">
    <w:name w:val="Char Char11"/>
    <w:basedOn w:val="1"/>
    <w:qFormat/>
    <w:uiPriority w:val="0"/>
    <w:rPr>
      <w:szCs w:val="20"/>
    </w:rPr>
  </w:style>
  <w:style w:type="paragraph" w:customStyle="1" w:styleId="46">
    <w:name w:val="样式1"/>
    <w:basedOn w:val="5"/>
    <w:qFormat/>
    <w:uiPriority w:val="0"/>
    <w:pPr>
      <w:jc w:val="center"/>
    </w:p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Char11"/>
    <w:basedOn w:val="1"/>
    <w:qFormat/>
    <w:uiPriority w:val="0"/>
    <w:rPr>
      <w:rFonts w:ascii="Tahoma" w:hAnsi="Tahoma"/>
      <w:sz w:val="24"/>
      <w:szCs w:val="20"/>
    </w:rPr>
  </w:style>
  <w:style w:type="paragraph" w:customStyle="1" w:styleId="49">
    <w:name w:val="Char2"/>
    <w:basedOn w:val="1"/>
    <w:next w:val="1"/>
    <w:qFormat/>
    <w:uiPriority w:val="0"/>
    <w:pPr>
      <w:widowControl/>
      <w:spacing w:line="360" w:lineRule="auto"/>
      <w:jc w:val="left"/>
    </w:pPr>
    <w:rPr>
      <w:kern w:val="0"/>
      <w:szCs w:val="20"/>
      <w:lang w:eastAsia="en-US"/>
    </w:rPr>
  </w:style>
  <w:style w:type="paragraph" w:customStyle="1" w:styleId="50">
    <w:name w:val="表文"/>
    <w:basedOn w:val="1"/>
    <w:qFormat/>
    <w:uiPriority w:val="0"/>
    <w:rPr>
      <w:rFonts w:ascii="宋体" w:hAnsi="宋体" w:cs="宋体"/>
      <w:color w:val="000000"/>
      <w:kern w:val="0"/>
      <w:szCs w:val="21"/>
    </w:rPr>
  </w:style>
  <w:style w:type="paragraph" w:customStyle="1" w:styleId="5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1"/>
    <w:basedOn w:val="23"/>
    <w:semiHidden/>
    <w:qFormat/>
    <w:uiPriority w:val="99"/>
    <w:rPr>
      <w:rFonts w:ascii="Times New Roman" w:hAnsi="Times New Roman" w:eastAsia="宋体" w:cs="Times New Roman"/>
      <w:szCs w:val="24"/>
    </w:rPr>
  </w:style>
  <w:style w:type="paragraph" w:styleId="53">
    <w:name w:val="List Paragraph"/>
    <w:basedOn w:val="1"/>
    <w:qFormat/>
    <w:uiPriority w:val="99"/>
    <w:pPr>
      <w:ind w:firstLine="420" w:firstLineChars="200"/>
    </w:pPr>
  </w:style>
  <w:style w:type="character" w:customStyle="1" w:styleId="54">
    <w:name w:val="标题 3 Char"/>
    <w:basedOn w:val="23"/>
    <w:link w:val="5"/>
    <w:qFormat/>
    <w:uiPriority w:val="0"/>
    <w:rPr>
      <w:rFonts w:ascii="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A5FCB-8C04-48B4-93BC-33CA69238CB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3962</Words>
  <Characters>22590</Characters>
  <Lines>188</Lines>
  <Paragraphs>52</Paragraphs>
  <TotalTime>42</TotalTime>
  <ScaleCrop>false</ScaleCrop>
  <LinksUpToDate>false</LinksUpToDate>
  <CharactersWithSpaces>26500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2021-06-23T02:04:29Z</dcterms:modified>
  <dc:title>招标文件</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F8F66F7DC38A4CAAAA4EBA8C08393604</vt:lpwstr>
  </property>
</Properties>
</file>